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450AC0" w:rsidRPr="00E325A4" w:rsidP="00A837E3" w14:paraId="0393AFD6" w14:textId="77777777">
      <w:pPr>
        <w:jc w:val="center"/>
        <w:rPr>
          <w:w w:val="100"/>
          <w:szCs w:val="22"/>
          <w:lang w:val="de-DE"/>
        </w:rPr>
      </w:pPr>
      <w:r w:rsidRPr="00E325A4">
        <w:rPr>
          <w:w w:val="100"/>
          <w:szCs w:val="22"/>
          <w:lang w:val="de-DE"/>
        </w:rPr>
        <w:t xml:space="preserve">Förderungsaktion </w:t>
      </w:r>
      <w:r w:rsidRPr="00E325A4" w:rsidR="000973D4">
        <w:rPr>
          <w:w w:val="100"/>
          <w:szCs w:val="22"/>
          <w:lang w:val="de-DE"/>
        </w:rPr>
        <w:t>Start!Klar plus</w:t>
      </w:r>
    </w:p>
    <w:p w:rsidR="000973D4" w:rsidRPr="00E325A4" w:rsidP="000973D4" w14:paraId="53CD687A" w14:textId="77777777">
      <w:pPr>
        <w:jc w:val="center"/>
        <w:rPr>
          <w:w w:val="100"/>
          <w:szCs w:val="22"/>
          <w:lang w:val="de-DE"/>
        </w:rPr>
      </w:pPr>
    </w:p>
    <w:p w:rsidR="0099698A" w:rsidRPr="00E325A4" w:rsidP="000973D4" w14:paraId="0A2DF1F5" w14:textId="77777777">
      <w:pPr>
        <w:jc w:val="center"/>
        <w:rPr>
          <w:b/>
          <w:w w:val="100"/>
          <w:szCs w:val="22"/>
          <w:lang w:val="de-DE"/>
        </w:rPr>
      </w:pPr>
      <w:r w:rsidRPr="00E325A4">
        <w:rPr>
          <w:b/>
          <w:w w:val="100"/>
          <w:szCs w:val="22"/>
          <w:lang w:val="de-DE"/>
        </w:rPr>
        <w:t xml:space="preserve">TERM SHEET </w:t>
      </w:r>
      <w:r w:rsidRPr="00E325A4" w:rsidR="00F64DD3">
        <w:rPr>
          <w:b/>
          <w:w w:val="100"/>
          <w:szCs w:val="22"/>
          <w:lang w:val="de-DE"/>
        </w:rPr>
        <w:t xml:space="preserve">FÜR DIE ERSTE </w:t>
      </w:r>
      <w:r w:rsidRPr="00E325A4">
        <w:rPr>
          <w:b/>
          <w:w w:val="100"/>
          <w:szCs w:val="22"/>
          <w:lang w:val="de-DE"/>
        </w:rPr>
        <w:t>FINANZIERUNGSRUNDE</w:t>
      </w:r>
    </w:p>
    <w:p w:rsidR="0099698A" w:rsidRPr="00E325A4" w:rsidP="004D1F62" w14:paraId="1FA7EB1E" w14:textId="77777777">
      <w:pPr>
        <w:rPr>
          <w:w w:val="100"/>
          <w:szCs w:val="22"/>
          <w:lang w:val="de-DE"/>
        </w:rPr>
      </w:pPr>
    </w:p>
    <w:p w:rsidR="0099698A" w:rsidRPr="00E325A4" w:rsidP="000973D4" w14:paraId="07F3B0B3" w14:textId="77777777">
      <w:pPr>
        <w:jc w:val="center"/>
        <w:rPr>
          <w:w w:val="100"/>
          <w:szCs w:val="22"/>
        </w:rPr>
      </w:pPr>
    </w:p>
    <w:p w:rsidR="0099698A" w:rsidRPr="00E325A4" w:rsidP="00F64DD3" w14:paraId="2ACE6B7E" w14:textId="77777777">
      <w:pPr>
        <w:jc w:val="center"/>
        <w:rPr>
          <w:w w:val="100"/>
          <w:szCs w:val="22"/>
        </w:rPr>
      </w:pPr>
      <w:r w:rsidRPr="00E325A4">
        <w:rPr>
          <w:w w:val="100"/>
          <w:szCs w:val="22"/>
        </w:rPr>
        <w:t>Bitte beachten Sie, dass die Checkliste keinen Anspruch auf Vollständigkeit für alle in Betracht kommenden Finanzierungsfälle und -konditionen einer GmbH erhebt. Es kann nur eine erste Hilfestellung bieten, die wesentlichen Regelungen im Zuge der Verhandlung eines Beteiligungsvertrages zu erfassen und einzuordnen. Die konkrete anwaltliche Beratung kann die C</w:t>
      </w:r>
      <w:r w:rsidRPr="00E325A4" w:rsidR="00F64DD3">
        <w:rPr>
          <w:w w:val="100"/>
          <w:szCs w:val="22"/>
        </w:rPr>
        <w:t>heckliste keinesfalls ersetzen.</w:t>
      </w:r>
      <w:r w:rsidRPr="00E325A4">
        <w:rPr>
          <w:w w:val="100"/>
          <w:szCs w:val="22"/>
          <w:lang w:val="de-DE"/>
        </w:rPr>
        <w:br w:type="page"/>
      </w:r>
    </w:p>
    <w:tbl>
      <w:tblPr>
        <w:tblStyle w:val="TableGrid"/>
        <w:tblW w:w="14596" w:type="dxa"/>
        <w:tblLook w:val="04A0"/>
      </w:tblPr>
      <w:tblGrid>
        <w:gridCol w:w="3500"/>
        <w:gridCol w:w="5112"/>
        <w:gridCol w:w="5984"/>
      </w:tblGrid>
      <w:tr w14:paraId="71FEFCFF" w14:textId="77777777" w:rsidTr="00E325A4">
        <w:tblPrEx>
          <w:tblW w:w="14596" w:type="dxa"/>
          <w:tblLook w:val="04A0"/>
        </w:tblPrEx>
        <w:trPr>
          <w:cantSplit/>
        </w:trPr>
        <w:tc>
          <w:tcPr>
            <w:tcW w:w="3500" w:type="dxa"/>
          </w:tcPr>
          <w:p w:rsidR="00AF77D2" w:rsidP="000973D4" w14:paraId="1233ACF0" w14:textId="77777777">
            <w:pPr>
              <w:jc w:val="left"/>
              <w:rPr>
                <w:b/>
                <w:w w:val="100"/>
                <w:szCs w:val="22"/>
                <w:lang w:val="de-DE"/>
              </w:rPr>
            </w:pPr>
            <w:r w:rsidRPr="00E325A4">
              <w:rPr>
                <w:b/>
                <w:w w:val="100"/>
                <w:szCs w:val="22"/>
                <w:lang w:val="de-DE"/>
              </w:rPr>
              <w:t>Unternehmen</w:t>
            </w:r>
          </w:p>
          <w:p w:rsidR="00F33F74" w:rsidRPr="00F33F74" w:rsidP="00F33F74" w14:paraId="7BFC9E23" w14:textId="77777777">
            <w:pPr>
              <w:rPr>
                <w:szCs w:val="22"/>
                <w:lang w:val="de-DE"/>
              </w:rPr>
            </w:pPr>
          </w:p>
          <w:p w:rsidR="00F33F74" w:rsidRPr="00F33F74" w:rsidP="00F33F74" w14:paraId="63DCE7B4" w14:textId="77777777">
            <w:pPr>
              <w:rPr>
                <w:szCs w:val="22"/>
                <w:lang w:val="de-DE"/>
              </w:rPr>
            </w:pPr>
          </w:p>
          <w:p w:rsidR="00F33F74" w:rsidRPr="00F33F74" w:rsidP="00F33F74" w14:paraId="3B5FBDA6" w14:textId="77777777">
            <w:pPr>
              <w:rPr>
                <w:szCs w:val="22"/>
                <w:lang w:val="de-DE"/>
              </w:rPr>
            </w:pPr>
          </w:p>
          <w:p w:rsidR="00F33F74" w:rsidRPr="00F33F74" w:rsidP="00F33F74" w14:paraId="5E235620" w14:textId="77777777">
            <w:pPr>
              <w:rPr>
                <w:szCs w:val="22"/>
                <w:lang w:val="de-DE"/>
              </w:rPr>
            </w:pPr>
          </w:p>
          <w:p w:rsidR="00F33F74" w:rsidRPr="00F33F74" w:rsidP="00F33F74" w14:paraId="3AA3ADFF" w14:textId="77777777">
            <w:pPr>
              <w:rPr>
                <w:szCs w:val="22"/>
                <w:lang w:val="de-DE"/>
              </w:rPr>
            </w:pPr>
          </w:p>
          <w:p w:rsidR="00F33F74" w:rsidRPr="00F33F74" w:rsidP="00F33F74" w14:paraId="03FD2DDE" w14:textId="77777777">
            <w:pPr>
              <w:rPr>
                <w:szCs w:val="22"/>
                <w:lang w:val="de-DE"/>
              </w:rPr>
            </w:pPr>
          </w:p>
          <w:p w:rsidR="00F33F74" w:rsidRPr="00F33F74" w:rsidP="00F33F74" w14:paraId="6E8D13AA" w14:textId="77777777">
            <w:pPr>
              <w:rPr>
                <w:szCs w:val="22"/>
                <w:lang w:val="de-DE"/>
              </w:rPr>
            </w:pPr>
          </w:p>
          <w:p w:rsidR="00F33F74" w:rsidRPr="00F33F74" w:rsidP="00F33F74" w14:paraId="4A43A4B5" w14:textId="77777777">
            <w:pPr>
              <w:rPr>
                <w:szCs w:val="22"/>
                <w:lang w:val="de-DE"/>
              </w:rPr>
            </w:pPr>
          </w:p>
          <w:p w:rsidR="00F33F74" w:rsidRPr="00F33F74" w:rsidP="00F33F74" w14:paraId="06134C43" w14:textId="77777777">
            <w:pPr>
              <w:rPr>
                <w:szCs w:val="22"/>
                <w:lang w:val="de-DE"/>
              </w:rPr>
            </w:pPr>
          </w:p>
          <w:p w:rsidR="00F33F74" w:rsidRPr="00F33F74" w:rsidP="00F33F74" w14:paraId="092FEA94" w14:textId="77777777">
            <w:pPr>
              <w:rPr>
                <w:szCs w:val="22"/>
                <w:lang w:val="de-DE"/>
              </w:rPr>
            </w:pPr>
          </w:p>
          <w:p w:rsidR="00F33F74" w:rsidRPr="00F33F74" w:rsidP="00F33F74" w14:paraId="5012B87F" w14:textId="77777777">
            <w:pPr>
              <w:rPr>
                <w:szCs w:val="22"/>
                <w:lang w:val="de-DE"/>
              </w:rPr>
            </w:pPr>
          </w:p>
          <w:p w:rsidR="00F33F74" w:rsidRPr="00F33F74" w:rsidP="00F33F74" w14:paraId="2BF94380" w14:textId="77777777">
            <w:pPr>
              <w:rPr>
                <w:szCs w:val="22"/>
                <w:lang w:val="de-DE"/>
              </w:rPr>
            </w:pPr>
          </w:p>
          <w:p w:rsidR="00F33F74" w:rsidRPr="00F33F74" w:rsidP="00F33F74" w14:paraId="3DA4061C" w14:textId="77777777">
            <w:pPr>
              <w:rPr>
                <w:szCs w:val="22"/>
                <w:lang w:val="de-DE"/>
              </w:rPr>
            </w:pPr>
          </w:p>
          <w:p w:rsidR="00F33F74" w:rsidRPr="00F33F74" w:rsidP="00F33F74" w14:paraId="70AA91D8" w14:textId="77777777">
            <w:pPr>
              <w:rPr>
                <w:szCs w:val="22"/>
                <w:lang w:val="de-DE"/>
              </w:rPr>
            </w:pPr>
          </w:p>
          <w:p w:rsidR="00F33F74" w:rsidRPr="00F33F74" w:rsidP="00F33F74" w14:paraId="48049D70" w14:textId="77777777">
            <w:pPr>
              <w:rPr>
                <w:szCs w:val="22"/>
                <w:lang w:val="de-DE"/>
              </w:rPr>
            </w:pPr>
          </w:p>
          <w:p w:rsidR="00F33F74" w:rsidRPr="00F33F74" w:rsidP="00F33F74" w14:paraId="7359361D" w14:textId="77777777">
            <w:pPr>
              <w:rPr>
                <w:szCs w:val="22"/>
                <w:lang w:val="de-DE"/>
              </w:rPr>
            </w:pPr>
          </w:p>
          <w:p w:rsidR="00F33F74" w:rsidRPr="00F33F74" w:rsidP="00F33F74" w14:paraId="3BBA3F0C" w14:textId="77777777">
            <w:pPr>
              <w:rPr>
                <w:szCs w:val="22"/>
                <w:lang w:val="de-DE"/>
              </w:rPr>
            </w:pPr>
          </w:p>
          <w:p w:rsidR="00F33F74" w:rsidRPr="00F33F74" w:rsidP="00F33F74" w14:paraId="7F344473" w14:textId="77777777">
            <w:pPr>
              <w:rPr>
                <w:szCs w:val="22"/>
                <w:lang w:val="de-DE"/>
              </w:rPr>
            </w:pPr>
          </w:p>
          <w:p w:rsidR="00F33F74" w:rsidRPr="00F33F74" w:rsidP="00F33F74" w14:paraId="25A8B0DC" w14:textId="77777777">
            <w:pPr>
              <w:rPr>
                <w:szCs w:val="22"/>
                <w:lang w:val="de-DE"/>
              </w:rPr>
            </w:pPr>
          </w:p>
          <w:p w:rsidR="00F33F74" w:rsidRPr="00F33F74" w:rsidP="00F33F74" w14:paraId="3328C829" w14:textId="77777777">
            <w:pPr>
              <w:rPr>
                <w:szCs w:val="22"/>
                <w:lang w:val="de-DE"/>
              </w:rPr>
            </w:pPr>
          </w:p>
          <w:p w:rsidR="00F33F74" w:rsidRPr="00F33F74" w:rsidP="00F33F74" w14:paraId="3EB5CB65" w14:textId="77777777">
            <w:pPr>
              <w:rPr>
                <w:szCs w:val="22"/>
                <w:lang w:val="de-DE"/>
              </w:rPr>
            </w:pPr>
          </w:p>
          <w:p w:rsidR="00F33F74" w:rsidRPr="00F33F74" w:rsidP="00F33F74" w14:paraId="04D63C01" w14:textId="77777777">
            <w:pPr>
              <w:rPr>
                <w:szCs w:val="22"/>
                <w:lang w:val="de-DE"/>
              </w:rPr>
            </w:pPr>
          </w:p>
          <w:p w:rsidR="00F33F74" w:rsidRPr="00F33F74" w:rsidP="00F33F74" w14:paraId="1135DECA" w14:textId="77777777">
            <w:pPr>
              <w:rPr>
                <w:szCs w:val="22"/>
                <w:lang w:val="de-DE"/>
              </w:rPr>
            </w:pPr>
          </w:p>
          <w:p w:rsidR="00F33F74" w:rsidRPr="00F33F74" w:rsidP="00F33F74" w14:paraId="469FBA83" w14:textId="77777777">
            <w:pPr>
              <w:rPr>
                <w:szCs w:val="22"/>
                <w:lang w:val="de-DE"/>
              </w:rPr>
            </w:pPr>
          </w:p>
          <w:p w:rsidR="00F33F74" w:rsidRPr="00F33F74" w:rsidP="00F33F74" w14:paraId="70A746F2" w14:textId="77777777">
            <w:pPr>
              <w:rPr>
                <w:szCs w:val="22"/>
                <w:lang w:val="de-DE"/>
              </w:rPr>
            </w:pPr>
          </w:p>
          <w:p w:rsidR="00F33F74" w:rsidRPr="00F33F74" w:rsidP="00F33F74" w14:paraId="7630105E" w14:textId="77777777">
            <w:pPr>
              <w:rPr>
                <w:szCs w:val="22"/>
                <w:lang w:val="de-DE"/>
              </w:rPr>
            </w:pPr>
          </w:p>
          <w:p w:rsidR="00F33F74" w:rsidRPr="00F33F74" w:rsidP="00F33F74" w14:paraId="3200EE2A" w14:textId="77777777">
            <w:pPr>
              <w:rPr>
                <w:szCs w:val="22"/>
                <w:lang w:val="de-DE"/>
              </w:rPr>
            </w:pPr>
          </w:p>
          <w:p w:rsidR="00F33F74" w:rsidRPr="00F33F74" w:rsidP="00F33F74" w14:paraId="49A9A5A5" w14:textId="77777777">
            <w:pPr>
              <w:rPr>
                <w:szCs w:val="22"/>
                <w:lang w:val="de-DE"/>
              </w:rPr>
            </w:pPr>
          </w:p>
          <w:p w:rsidR="00F33F74" w:rsidRPr="00F33F74" w:rsidP="00F33F74" w14:paraId="3E4FFFAE" w14:textId="77777777">
            <w:pPr>
              <w:rPr>
                <w:szCs w:val="22"/>
                <w:lang w:val="de-DE"/>
              </w:rPr>
            </w:pPr>
          </w:p>
          <w:p w:rsidR="00F33F74" w:rsidRPr="00F33F74" w:rsidP="00F33F74" w14:paraId="7C3D073A" w14:textId="77777777">
            <w:pPr>
              <w:rPr>
                <w:szCs w:val="22"/>
                <w:lang w:val="de-DE"/>
              </w:rPr>
            </w:pPr>
          </w:p>
        </w:tc>
        <w:tc>
          <w:tcPr>
            <w:tcW w:w="5112" w:type="dxa"/>
          </w:tcPr>
          <w:p w:rsidR="0099698A" w:rsidRPr="00E325A4" w:rsidP="0099698A" w14:paraId="4C4B4650" w14:textId="77777777">
            <w:pPr>
              <w:jc w:val="left"/>
              <w:rPr>
                <w:w w:val="100"/>
                <w:szCs w:val="22"/>
              </w:rPr>
            </w:pPr>
            <w:r w:rsidRPr="00E325A4">
              <w:rPr>
                <w:w w:val="100"/>
                <w:szCs w:val="22"/>
              </w:rPr>
              <w:t xml:space="preserve">Muster GmbH, </w:t>
            </w:r>
          </w:p>
          <w:p w:rsidR="0099698A" w:rsidRPr="00E325A4" w:rsidP="0099698A" w14:paraId="7ED549D8" w14:textId="77777777">
            <w:pPr>
              <w:jc w:val="left"/>
              <w:rPr>
                <w:w w:val="100"/>
                <w:szCs w:val="22"/>
              </w:rPr>
            </w:pPr>
            <w:r w:rsidRPr="00E325A4">
              <w:rPr>
                <w:w w:val="100"/>
                <w:szCs w:val="22"/>
              </w:rPr>
              <w:t>eingetragen im Firmenbuch</w:t>
            </w:r>
            <w:r w:rsidRPr="00E325A4" w:rsidR="00755D37">
              <w:rPr>
                <w:w w:val="100"/>
                <w:szCs w:val="22"/>
              </w:rPr>
              <w:t xml:space="preserve"> des Landesgerichts Graz</w:t>
            </w:r>
            <w:r w:rsidRPr="00E325A4">
              <w:rPr>
                <w:w w:val="100"/>
                <w:szCs w:val="22"/>
              </w:rPr>
              <w:t xml:space="preserve"> unter FN 12345, </w:t>
            </w:r>
          </w:p>
          <w:p w:rsidR="00AF77D2" w:rsidRPr="00E325A4" w:rsidP="0099698A" w14:paraId="577EDB0E" w14:textId="77777777">
            <w:pPr>
              <w:jc w:val="left"/>
              <w:rPr>
                <w:w w:val="100"/>
                <w:szCs w:val="22"/>
              </w:rPr>
            </w:pPr>
            <w:r w:rsidRPr="00E325A4">
              <w:rPr>
                <w:w w:val="100"/>
                <w:szCs w:val="22"/>
              </w:rPr>
              <w:t xml:space="preserve">Geschäftssitz: </w:t>
            </w:r>
            <w:r w:rsidRPr="00E325A4" w:rsidR="00755D37">
              <w:rPr>
                <w:w w:val="100"/>
                <w:szCs w:val="22"/>
              </w:rPr>
              <w:t>Haupt</w:t>
            </w:r>
            <w:r w:rsidRPr="00E325A4">
              <w:rPr>
                <w:w w:val="100"/>
                <w:szCs w:val="22"/>
              </w:rPr>
              <w:t xml:space="preserve">straße 1, 01234 </w:t>
            </w:r>
            <w:r w:rsidRPr="00E325A4" w:rsidR="00755D37">
              <w:rPr>
                <w:w w:val="100"/>
                <w:szCs w:val="22"/>
              </w:rPr>
              <w:t>Groß</w:t>
            </w:r>
            <w:r w:rsidRPr="00E325A4">
              <w:rPr>
                <w:w w:val="100"/>
                <w:szCs w:val="22"/>
              </w:rPr>
              <w:t>stadt</w:t>
            </w:r>
          </w:p>
          <w:p w:rsidR="0099698A" w:rsidRPr="00E325A4" w:rsidP="00BD16D8" w14:paraId="38A67E08" w14:textId="77777777">
            <w:pPr>
              <w:jc w:val="left"/>
              <w:rPr>
                <w:w w:val="100"/>
                <w:szCs w:val="22"/>
              </w:rPr>
            </w:pPr>
            <w:r w:rsidRPr="00E325A4">
              <w:rPr>
                <w:w w:val="100"/>
                <w:szCs w:val="22"/>
              </w:rPr>
              <w:t>Gründungsdatum: 01.01.20</w:t>
            </w:r>
            <w:r w:rsidRPr="00E325A4" w:rsidR="00BD16D8">
              <w:rPr>
                <w:w w:val="100"/>
                <w:szCs w:val="22"/>
              </w:rPr>
              <w:t>XX</w:t>
            </w:r>
          </w:p>
          <w:p w:rsidR="005C2201" w:rsidRPr="00E325A4" w:rsidP="00BD16D8" w14:paraId="663DB97E" w14:textId="77777777">
            <w:pPr>
              <w:jc w:val="left"/>
              <w:rPr>
                <w:w w:val="100"/>
                <w:szCs w:val="22"/>
              </w:rPr>
            </w:pPr>
          </w:p>
        </w:tc>
        <w:tc>
          <w:tcPr>
            <w:tcW w:w="5984" w:type="dxa"/>
          </w:tcPr>
          <w:p w:rsidR="0099698A" w:rsidRPr="00E325A4" w:rsidP="0099698A" w14:paraId="690206A4" w14:textId="77777777">
            <w:pPr>
              <w:jc w:val="left"/>
              <w:rPr>
                <w:w w:val="100"/>
                <w:szCs w:val="22"/>
              </w:rPr>
            </w:pPr>
            <w:r w:rsidRPr="00E325A4">
              <w:rPr>
                <w:w w:val="100"/>
                <w:szCs w:val="22"/>
              </w:rPr>
              <w:t>Firmenwortlaut laut Firmenbuch, Firmenbuchnummer, Sitzadresse laut Firmenbuch, Gründungsdatum laut Firmenbuch</w:t>
            </w:r>
            <w:r w:rsidRPr="00E325A4" w:rsidR="005C2201">
              <w:rPr>
                <w:w w:val="100"/>
                <w:szCs w:val="22"/>
              </w:rPr>
              <w:t>.</w:t>
            </w:r>
          </w:p>
          <w:p w:rsidR="0099698A" w:rsidRPr="00E325A4" w:rsidP="0099698A" w14:paraId="0DC5A2B0" w14:textId="77777777">
            <w:pPr>
              <w:jc w:val="left"/>
              <w:rPr>
                <w:w w:val="100"/>
                <w:szCs w:val="22"/>
              </w:rPr>
            </w:pPr>
          </w:p>
        </w:tc>
      </w:tr>
      <w:tr w14:paraId="1BA662EC" w14:textId="77777777" w:rsidTr="00E325A4">
        <w:tblPrEx>
          <w:tblW w:w="14596" w:type="dxa"/>
          <w:tblLook w:val="04A0"/>
        </w:tblPrEx>
        <w:trPr>
          <w:cantSplit/>
        </w:trPr>
        <w:tc>
          <w:tcPr>
            <w:tcW w:w="3500" w:type="dxa"/>
          </w:tcPr>
          <w:p w:rsidR="00AF77D2" w:rsidP="000973D4" w14:paraId="21BAC715" w14:textId="77777777">
            <w:pPr>
              <w:jc w:val="left"/>
              <w:rPr>
                <w:b/>
                <w:w w:val="100"/>
                <w:szCs w:val="22"/>
                <w:lang w:val="de-DE"/>
              </w:rPr>
            </w:pPr>
            <w:r w:rsidRPr="00E325A4">
              <w:rPr>
                <w:b/>
                <w:w w:val="100"/>
                <w:szCs w:val="22"/>
                <w:lang w:val="de-DE"/>
              </w:rPr>
              <w:t>Gründer</w:t>
            </w:r>
          </w:p>
          <w:p w:rsidR="00F33F74" w:rsidRPr="00F33F74" w:rsidP="00F33F74" w14:paraId="25042130" w14:textId="77777777">
            <w:pPr>
              <w:rPr>
                <w:szCs w:val="22"/>
                <w:lang w:val="de-DE"/>
              </w:rPr>
            </w:pPr>
          </w:p>
          <w:p w:rsidR="00F33F74" w:rsidRPr="00F33F74" w:rsidP="00F33F74" w14:paraId="237781AE" w14:textId="77777777">
            <w:pPr>
              <w:rPr>
                <w:szCs w:val="22"/>
                <w:lang w:val="de-DE"/>
              </w:rPr>
            </w:pPr>
          </w:p>
          <w:p w:rsidR="00F33F74" w:rsidRPr="00F33F74" w:rsidP="00F33F74" w14:paraId="0C142437" w14:textId="77777777">
            <w:pPr>
              <w:rPr>
                <w:szCs w:val="22"/>
                <w:lang w:val="de-DE"/>
              </w:rPr>
            </w:pPr>
          </w:p>
          <w:p w:rsidR="00F33F74" w:rsidRPr="00F33F74" w:rsidP="00F33F74" w14:paraId="45D294EF" w14:textId="77777777">
            <w:pPr>
              <w:rPr>
                <w:szCs w:val="22"/>
                <w:lang w:val="de-DE"/>
              </w:rPr>
            </w:pPr>
          </w:p>
          <w:p w:rsidR="00F33F74" w:rsidRPr="00F33F74" w:rsidP="00F33F74" w14:paraId="67E16180" w14:textId="77777777">
            <w:pPr>
              <w:rPr>
                <w:szCs w:val="22"/>
                <w:lang w:val="de-DE"/>
              </w:rPr>
            </w:pPr>
          </w:p>
          <w:p w:rsidR="00F33F74" w:rsidRPr="00F33F74" w:rsidP="00F33F74" w14:paraId="0E1C82A3" w14:textId="77777777">
            <w:pPr>
              <w:rPr>
                <w:szCs w:val="22"/>
                <w:lang w:val="de-DE"/>
              </w:rPr>
            </w:pPr>
          </w:p>
          <w:p w:rsidR="00F33F74" w:rsidRPr="00F33F74" w:rsidP="00F33F74" w14:paraId="1B0A6F98" w14:textId="77777777">
            <w:pPr>
              <w:rPr>
                <w:szCs w:val="22"/>
                <w:lang w:val="de-DE"/>
              </w:rPr>
            </w:pPr>
          </w:p>
          <w:p w:rsidR="00F33F74" w:rsidRPr="00F33F74" w:rsidP="00F33F74" w14:paraId="7BBDF229" w14:textId="77777777">
            <w:pPr>
              <w:rPr>
                <w:szCs w:val="22"/>
                <w:lang w:val="de-DE"/>
              </w:rPr>
            </w:pPr>
          </w:p>
          <w:p w:rsidR="00F33F74" w:rsidRPr="00F33F74" w:rsidP="00F33F74" w14:paraId="388F9801" w14:textId="77777777">
            <w:pPr>
              <w:rPr>
                <w:szCs w:val="22"/>
                <w:lang w:val="de-DE"/>
              </w:rPr>
            </w:pPr>
          </w:p>
          <w:p w:rsidR="00F33F74" w:rsidRPr="00F33F74" w:rsidP="00F33F74" w14:paraId="30599959" w14:textId="77777777">
            <w:pPr>
              <w:rPr>
                <w:szCs w:val="22"/>
                <w:lang w:val="de-DE"/>
              </w:rPr>
            </w:pPr>
          </w:p>
          <w:p w:rsidR="00F33F74" w:rsidRPr="00F33F74" w:rsidP="00F33F74" w14:paraId="19D13CFD" w14:textId="77777777">
            <w:pPr>
              <w:rPr>
                <w:szCs w:val="22"/>
                <w:lang w:val="de-DE"/>
              </w:rPr>
            </w:pPr>
          </w:p>
          <w:p w:rsidR="00F33F74" w:rsidRPr="00F33F74" w:rsidP="00F33F74" w14:paraId="01EDD1D0" w14:textId="77777777">
            <w:pPr>
              <w:rPr>
                <w:szCs w:val="22"/>
                <w:lang w:val="de-DE"/>
              </w:rPr>
            </w:pPr>
          </w:p>
          <w:p w:rsidR="00F33F74" w:rsidRPr="00F33F74" w:rsidP="00F33F74" w14:paraId="04C21A6E" w14:textId="77777777">
            <w:pPr>
              <w:rPr>
                <w:szCs w:val="22"/>
                <w:lang w:val="de-DE"/>
              </w:rPr>
            </w:pPr>
          </w:p>
          <w:p w:rsidR="00F33F74" w:rsidRPr="00F33F74" w:rsidP="00F33F74" w14:paraId="38BD3DB2" w14:textId="77777777">
            <w:pPr>
              <w:rPr>
                <w:szCs w:val="22"/>
                <w:lang w:val="de-DE"/>
              </w:rPr>
            </w:pPr>
          </w:p>
          <w:p w:rsidR="00F33F74" w:rsidRPr="00F33F74" w:rsidP="00F33F74" w14:paraId="1D7088DB" w14:textId="77777777">
            <w:pPr>
              <w:rPr>
                <w:szCs w:val="22"/>
                <w:lang w:val="de-DE"/>
              </w:rPr>
            </w:pPr>
          </w:p>
          <w:p w:rsidR="00F33F74" w:rsidRPr="00F33F74" w:rsidP="00F33F74" w14:paraId="66D8DB46" w14:textId="77777777">
            <w:pPr>
              <w:rPr>
                <w:szCs w:val="22"/>
                <w:lang w:val="de-DE"/>
              </w:rPr>
            </w:pPr>
          </w:p>
          <w:p w:rsidR="00F33F74" w:rsidRPr="00F33F74" w:rsidP="00F33F74" w14:paraId="2CFAEDD4" w14:textId="77777777">
            <w:pPr>
              <w:rPr>
                <w:szCs w:val="22"/>
                <w:lang w:val="de-DE"/>
              </w:rPr>
            </w:pPr>
          </w:p>
          <w:p w:rsidR="00F33F74" w:rsidRPr="00F33F74" w:rsidP="00F33F74" w14:paraId="7AA6CE56" w14:textId="77777777">
            <w:pPr>
              <w:rPr>
                <w:szCs w:val="22"/>
                <w:lang w:val="de-DE"/>
              </w:rPr>
            </w:pPr>
          </w:p>
          <w:p w:rsidR="00F33F74" w:rsidRPr="00F33F74" w:rsidP="00F33F74" w14:paraId="6FFA5F85" w14:textId="77777777">
            <w:pPr>
              <w:rPr>
                <w:szCs w:val="22"/>
                <w:lang w:val="de-DE"/>
              </w:rPr>
            </w:pPr>
          </w:p>
          <w:p w:rsidR="00F33F74" w:rsidRPr="00F33F74" w:rsidP="00F33F74" w14:paraId="7DEF0F63" w14:textId="77777777">
            <w:pPr>
              <w:rPr>
                <w:szCs w:val="22"/>
                <w:lang w:val="de-DE"/>
              </w:rPr>
            </w:pPr>
          </w:p>
          <w:p w:rsidR="00F33F74" w:rsidRPr="00F33F74" w:rsidP="00F33F74" w14:paraId="26550163" w14:textId="77777777">
            <w:pPr>
              <w:rPr>
                <w:szCs w:val="22"/>
                <w:lang w:val="de-DE"/>
              </w:rPr>
            </w:pPr>
          </w:p>
          <w:p w:rsidR="00F33F74" w:rsidRPr="00F33F74" w:rsidP="00F33F74" w14:paraId="260E9648" w14:textId="77777777">
            <w:pPr>
              <w:rPr>
                <w:szCs w:val="22"/>
                <w:lang w:val="de-DE"/>
              </w:rPr>
            </w:pPr>
          </w:p>
          <w:p w:rsidR="00F33F74" w:rsidRPr="00F33F74" w:rsidP="00F33F74" w14:paraId="035E3A22" w14:textId="77777777">
            <w:pPr>
              <w:rPr>
                <w:szCs w:val="22"/>
                <w:lang w:val="de-DE"/>
              </w:rPr>
            </w:pPr>
          </w:p>
          <w:p w:rsidR="00F33F74" w:rsidRPr="00F33F74" w:rsidP="00F33F74" w14:paraId="5E3CB247" w14:textId="77777777">
            <w:pPr>
              <w:rPr>
                <w:szCs w:val="22"/>
                <w:lang w:val="de-DE"/>
              </w:rPr>
            </w:pPr>
          </w:p>
        </w:tc>
        <w:tc>
          <w:tcPr>
            <w:tcW w:w="5112" w:type="dxa"/>
          </w:tcPr>
          <w:p w:rsidR="00AF77D2" w:rsidRPr="00E325A4" w:rsidP="00176A39" w14:paraId="59904082" w14:textId="77777777">
            <w:pPr>
              <w:jc w:val="left"/>
              <w:rPr>
                <w:w w:val="100"/>
                <w:szCs w:val="22"/>
              </w:rPr>
            </w:pPr>
            <w:r w:rsidRPr="00E325A4">
              <w:rPr>
                <w:w w:val="100"/>
                <w:szCs w:val="22"/>
              </w:rPr>
              <w:t>Max Gründer, 03.09.1988, CEO</w:t>
            </w:r>
          </w:p>
          <w:p w:rsidR="003A2888" w:rsidRPr="00E325A4" w:rsidP="00176A39" w14:paraId="0E079897" w14:textId="77777777">
            <w:pPr>
              <w:jc w:val="left"/>
              <w:rPr>
                <w:w w:val="100"/>
                <w:szCs w:val="22"/>
              </w:rPr>
            </w:pPr>
            <w:r w:rsidRPr="00E325A4">
              <w:rPr>
                <w:w w:val="100"/>
                <w:szCs w:val="22"/>
              </w:rPr>
              <w:t>Petra Gründer, 04.04.1975, CFO</w:t>
            </w:r>
          </w:p>
          <w:p w:rsidR="003A2888" w:rsidRPr="00E325A4" w:rsidP="00176A39" w14:paraId="547598C5" w14:textId="77777777">
            <w:pPr>
              <w:jc w:val="left"/>
              <w:rPr>
                <w:w w:val="100"/>
                <w:szCs w:val="22"/>
              </w:rPr>
            </w:pPr>
          </w:p>
        </w:tc>
        <w:tc>
          <w:tcPr>
            <w:tcW w:w="5984" w:type="dxa"/>
          </w:tcPr>
          <w:p w:rsidR="00AF77D2" w:rsidRPr="00E325A4" w:rsidP="00AF77D2" w14:paraId="3E729515" w14:textId="77777777">
            <w:pPr>
              <w:jc w:val="left"/>
              <w:rPr>
                <w:w w:val="100"/>
                <w:szCs w:val="22"/>
              </w:rPr>
            </w:pPr>
            <w:r w:rsidRPr="00E325A4">
              <w:rPr>
                <w:w w:val="100"/>
                <w:szCs w:val="22"/>
              </w:rPr>
              <w:t>Vor- und Nachname, Geburt</w:t>
            </w:r>
            <w:r w:rsidRPr="00E325A4" w:rsidR="005C2201">
              <w:rPr>
                <w:w w:val="100"/>
                <w:szCs w:val="22"/>
              </w:rPr>
              <w:t>sdatum, Funktion im Unternehmen.</w:t>
            </w:r>
          </w:p>
          <w:p w:rsidR="0099698A" w:rsidRPr="00E325A4" w:rsidP="00AF77D2" w14:paraId="4CCE2676" w14:textId="77777777">
            <w:pPr>
              <w:jc w:val="left"/>
              <w:rPr>
                <w:w w:val="100"/>
                <w:szCs w:val="22"/>
              </w:rPr>
            </w:pPr>
          </w:p>
        </w:tc>
      </w:tr>
      <w:tr w14:paraId="62EB3153" w14:textId="77777777" w:rsidTr="00E325A4">
        <w:tblPrEx>
          <w:tblW w:w="14596" w:type="dxa"/>
          <w:tblLook w:val="04A0"/>
        </w:tblPrEx>
        <w:trPr>
          <w:cantSplit/>
        </w:trPr>
        <w:tc>
          <w:tcPr>
            <w:tcW w:w="3500" w:type="dxa"/>
          </w:tcPr>
          <w:p w:rsidR="00AF77D2" w:rsidP="000973D4" w14:paraId="6626136C" w14:textId="77777777">
            <w:pPr>
              <w:jc w:val="left"/>
              <w:rPr>
                <w:b/>
                <w:w w:val="100"/>
                <w:szCs w:val="22"/>
                <w:lang w:val="de-DE"/>
              </w:rPr>
            </w:pPr>
            <w:r w:rsidRPr="00E325A4">
              <w:rPr>
                <w:b/>
                <w:w w:val="100"/>
                <w:szCs w:val="22"/>
                <w:lang w:val="de-DE"/>
              </w:rPr>
              <w:t>Investoren</w:t>
            </w:r>
          </w:p>
          <w:p w:rsidR="00F33F74" w:rsidRPr="00F33F74" w:rsidP="00F33F74" w14:paraId="41D50F74" w14:textId="77777777">
            <w:pPr>
              <w:rPr>
                <w:szCs w:val="22"/>
                <w:lang w:val="de-DE"/>
              </w:rPr>
            </w:pPr>
          </w:p>
          <w:p w:rsidR="00F33F74" w:rsidRPr="00F33F74" w:rsidP="00F33F74" w14:paraId="1DDBB569" w14:textId="77777777">
            <w:pPr>
              <w:rPr>
                <w:szCs w:val="22"/>
                <w:lang w:val="de-DE"/>
              </w:rPr>
            </w:pPr>
          </w:p>
          <w:p w:rsidR="00F33F74" w:rsidRPr="00F33F74" w:rsidP="00F33F74" w14:paraId="6253A48C" w14:textId="77777777">
            <w:pPr>
              <w:rPr>
                <w:szCs w:val="22"/>
                <w:lang w:val="de-DE"/>
              </w:rPr>
            </w:pPr>
          </w:p>
          <w:p w:rsidR="00F33F74" w:rsidRPr="00F33F74" w:rsidP="00F33F74" w14:paraId="4DDCD35A" w14:textId="77777777">
            <w:pPr>
              <w:rPr>
                <w:szCs w:val="22"/>
                <w:lang w:val="de-DE"/>
              </w:rPr>
            </w:pPr>
          </w:p>
          <w:p w:rsidR="00F33F74" w:rsidRPr="00F33F74" w:rsidP="00F33F74" w14:paraId="733D86D6" w14:textId="77777777">
            <w:pPr>
              <w:rPr>
                <w:szCs w:val="22"/>
                <w:lang w:val="de-DE"/>
              </w:rPr>
            </w:pPr>
          </w:p>
          <w:p w:rsidR="00F33F74" w:rsidRPr="00F33F74" w:rsidP="00F33F74" w14:paraId="0A419076" w14:textId="77777777">
            <w:pPr>
              <w:rPr>
                <w:szCs w:val="22"/>
                <w:lang w:val="de-DE"/>
              </w:rPr>
            </w:pPr>
          </w:p>
          <w:p w:rsidR="00F33F74" w:rsidRPr="00F33F74" w:rsidP="00F33F74" w14:paraId="5C1ACFE8" w14:textId="77777777">
            <w:pPr>
              <w:rPr>
                <w:szCs w:val="22"/>
                <w:lang w:val="de-DE"/>
              </w:rPr>
            </w:pPr>
          </w:p>
          <w:p w:rsidR="00F33F74" w:rsidRPr="00F33F74" w:rsidP="00F33F74" w14:paraId="1CC220A1" w14:textId="77777777">
            <w:pPr>
              <w:rPr>
                <w:szCs w:val="22"/>
                <w:lang w:val="de-DE"/>
              </w:rPr>
            </w:pPr>
          </w:p>
          <w:p w:rsidR="00F33F74" w:rsidRPr="00F33F74" w:rsidP="00F33F74" w14:paraId="38BE1090" w14:textId="77777777">
            <w:pPr>
              <w:rPr>
                <w:szCs w:val="22"/>
                <w:lang w:val="de-DE"/>
              </w:rPr>
            </w:pPr>
          </w:p>
          <w:p w:rsidR="00F33F74" w:rsidRPr="00F33F74" w:rsidP="00F33F74" w14:paraId="5F7DAC29" w14:textId="77777777">
            <w:pPr>
              <w:rPr>
                <w:szCs w:val="22"/>
                <w:lang w:val="de-DE"/>
              </w:rPr>
            </w:pPr>
          </w:p>
          <w:p w:rsidR="00F33F74" w:rsidRPr="00F33F74" w:rsidP="00F33F74" w14:paraId="5B622DD3" w14:textId="77777777">
            <w:pPr>
              <w:rPr>
                <w:szCs w:val="22"/>
                <w:lang w:val="de-DE"/>
              </w:rPr>
            </w:pPr>
          </w:p>
          <w:p w:rsidR="00F33F74" w:rsidRPr="00F33F74" w:rsidP="00F33F74" w14:paraId="6608F68B" w14:textId="77777777">
            <w:pPr>
              <w:rPr>
                <w:szCs w:val="22"/>
                <w:lang w:val="de-DE"/>
              </w:rPr>
            </w:pPr>
          </w:p>
          <w:p w:rsidR="00F33F74" w:rsidRPr="00F33F74" w:rsidP="00F33F74" w14:paraId="3BDF44C2" w14:textId="77777777">
            <w:pPr>
              <w:rPr>
                <w:szCs w:val="22"/>
                <w:lang w:val="de-DE"/>
              </w:rPr>
            </w:pPr>
          </w:p>
          <w:p w:rsidR="00F33F74" w:rsidRPr="00F33F74" w:rsidP="00F33F74" w14:paraId="453B27CE" w14:textId="77777777">
            <w:pPr>
              <w:rPr>
                <w:szCs w:val="22"/>
                <w:lang w:val="de-DE"/>
              </w:rPr>
            </w:pPr>
          </w:p>
          <w:p w:rsidR="00F33F74" w:rsidRPr="00F33F74" w:rsidP="00F33F74" w14:paraId="166A42F9" w14:textId="77777777">
            <w:pPr>
              <w:rPr>
                <w:szCs w:val="22"/>
                <w:lang w:val="de-DE"/>
              </w:rPr>
            </w:pPr>
          </w:p>
          <w:p w:rsidR="00F33F74" w:rsidRPr="00F33F74" w:rsidP="00F33F74" w14:paraId="33E140E4" w14:textId="77777777">
            <w:pPr>
              <w:rPr>
                <w:szCs w:val="22"/>
                <w:lang w:val="de-DE"/>
              </w:rPr>
            </w:pPr>
          </w:p>
          <w:p w:rsidR="00F33F74" w:rsidRPr="00F33F74" w:rsidP="00F33F74" w14:paraId="3EF699E5" w14:textId="77777777">
            <w:pPr>
              <w:rPr>
                <w:szCs w:val="22"/>
                <w:lang w:val="de-DE"/>
              </w:rPr>
            </w:pPr>
          </w:p>
          <w:p w:rsidR="00F33F74" w:rsidRPr="00F33F74" w:rsidP="00F33F74" w14:paraId="21C0FD99" w14:textId="77777777">
            <w:pPr>
              <w:rPr>
                <w:szCs w:val="22"/>
                <w:lang w:val="de-DE"/>
              </w:rPr>
            </w:pPr>
          </w:p>
          <w:p w:rsidR="00F33F74" w:rsidRPr="00F33F74" w:rsidP="00F33F74" w14:paraId="004A26B6" w14:textId="77777777">
            <w:pPr>
              <w:rPr>
                <w:szCs w:val="22"/>
                <w:lang w:val="de-DE"/>
              </w:rPr>
            </w:pPr>
          </w:p>
          <w:p w:rsidR="00F33F74" w:rsidRPr="00F33F74" w:rsidP="00F33F74" w14:paraId="3807B95C" w14:textId="77777777">
            <w:pPr>
              <w:rPr>
                <w:szCs w:val="22"/>
                <w:lang w:val="de-DE"/>
              </w:rPr>
            </w:pPr>
          </w:p>
          <w:p w:rsidR="00F33F74" w:rsidRPr="00F33F74" w:rsidP="00F33F74" w14:paraId="592DBA58" w14:textId="77777777">
            <w:pPr>
              <w:rPr>
                <w:szCs w:val="22"/>
                <w:lang w:val="de-DE"/>
              </w:rPr>
            </w:pPr>
          </w:p>
        </w:tc>
        <w:tc>
          <w:tcPr>
            <w:tcW w:w="5112" w:type="dxa"/>
          </w:tcPr>
          <w:p w:rsidR="003A2888" w:rsidRPr="00E325A4" w:rsidP="00176A39" w14:paraId="4A52AE2A" w14:textId="77777777">
            <w:pPr>
              <w:jc w:val="left"/>
              <w:rPr>
                <w:w w:val="100"/>
                <w:szCs w:val="22"/>
              </w:rPr>
            </w:pPr>
            <w:r w:rsidRPr="00E325A4">
              <w:rPr>
                <w:w w:val="100"/>
                <w:szCs w:val="22"/>
              </w:rPr>
              <w:t>Investment GmbH,</w:t>
            </w:r>
          </w:p>
          <w:p w:rsidR="003A2888" w:rsidRPr="00E325A4" w:rsidP="00176A39" w14:paraId="60F0662F" w14:textId="77777777">
            <w:pPr>
              <w:jc w:val="left"/>
              <w:rPr>
                <w:w w:val="100"/>
                <w:szCs w:val="22"/>
              </w:rPr>
            </w:pPr>
            <w:r w:rsidRPr="00E325A4">
              <w:rPr>
                <w:w w:val="100"/>
                <w:szCs w:val="22"/>
              </w:rPr>
              <w:t xml:space="preserve">eingetragen im Handelsregister des Amtsgerichts Hamburg unter HRB 56789 </w:t>
            </w:r>
          </w:p>
          <w:p w:rsidR="003A2888" w:rsidRPr="00E325A4" w:rsidP="00176A39" w14:paraId="018D0C9E" w14:textId="77777777">
            <w:pPr>
              <w:jc w:val="left"/>
              <w:rPr>
                <w:w w:val="100"/>
                <w:szCs w:val="22"/>
              </w:rPr>
            </w:pPr>
            <w:r w:rsidRPr="00E325A4">
              <w:rPr>
                <w:w w:val="100"/>
                <w:szCs w:val="22"/>
              </w:rPr>
              <w:t xml:space="preserve">Geschäftssitz: Alphastraße 9, 54321 Hamburg </w:t>
            </w:r>
          </w:p>
          <w:p w:rsidR="003A2888" w:rsidRPr="00E325A4" w:rsidP="00176A39" w14:paraId="1B29C053" w14:textId="77777777">
            <w:pPr>
              <w:jc w:val="left"/>
              <w:rPr>
                <w:w w:val="100"/>
                <w:szCs w:val="22"/>
              </w:rPr>
            </w:pPr>
            <w:r w:rsidRPr="00E325A4">
              <w:rPr>
                <w:w w:val="100"/>
                <w:szCs w:val="22"/>
              </w:rPr>
              <w:t xml:space="preserve">Ansprechpartner: Gustav Geld </w:t>
            </w:r>
          </w:p>
          <w:p w:rsidR="00755D37" w:rsidRPr="00E325A4" w:rsidP="00176A39" w14:paraId="2BC3E91A" w14:textId="77777777">
            <w:pPr>
              <w:jc w:val="left"/>
              <w:rPr>
                <w:w w:val="100"/>
                <w:szCs w:val="22"/>
              </w:rPr>
            </w:pPr>
          </w:p>
          <w:p w:rsidR="00755D37" w:rsidRPr="00E325A4" w:rsidP="00176A39" w14:paraId="15D24B39" w14:textId="77777777">
            <w:pPr>
              <w:jc w:val="left"/>
              <w:rPr>
                <w:w w:val="100"/>
                <w:szCs w:val="22"/>
              </w:rPr>
            </w:pPr>
            <w:r w:rsidRPr="00E325A4">
              <w:rPr>
                <w:w w:val="100"/>
                <w:szCs w:val="22"/>
              </w:rPr>
              <w:t xml:space="preserve">WinWin AG, </w:t>
            </w:r>
          </w:p>
          <w:p w:rsidR="00755D37" w:rsidRPr="00E325A4" w:rsidP="00176A39" w14:paraId="3F9C9174" w14:textId="77777777">
            <w:pPr>
              <w:jc w:val="left"/>
              <w:rPr>
                <w:w w:val="100"/>
                <w:szCs w:val="22"/>
              </w:rPr>
            </w:pPr>
            <w:r w:rsidRPr="00E325A4">
              <w:rPr>
                <w:w w:val="100"/>
                <w:szCs w:val="22"/>
              </w:rPr>
              <w:t>eingetragen im Firmenbuch des Landesgerichts Linz unter FN 01020,</w:t>
            </w:r>
          </w:p>
          <w:p w:rsidR="00755D37" w:rsidRPr="00E325A4" w:rsidP="00176A39" w14:paraId="7484D2C3" w14:textId="77777777">
            <w:pPr>
              <w:jc w:val="left"/>
              <w:rPr>
                <w:w w:val="100"/>
                <w:szCs w:val="22"/>
              </w:rPr>
            </w:pPr>
            <w:r w:rsidRPr="00E325A4">
              <w:rPr>
                <w:w w:val="100"/>
                <w:szCs w:val="22"/>
              </w:rPr>
              <w:t>Geschäftssitz: Nebenstraße 2,</w:t>
            </w:r>
            <w:r w:rsidRPr="00E325A4" w:rsidR="005C2201">
              <w:rPr>
                <w:w w:val="100"/>
                <w:szCs w:val="22"/>
              </w:rPr>
              <w:t xml:space="preserve"> 4321</w:t>
            </w:r>
            <w:r w:rsidRPr="00E325A4">
              <w:rPr>
                <w:w w:val="100"/>
                <w:szCs w:val="22"/>
              </w:rPr>
              <w:t xml:space="preserve"> Kleinstadt Ansprechpartner: Dr. Martin Erfolgreich</w:t>
            </w:r>
          </w:p>
          <w:p w:rsidR="00AF77D2" w:rsidRPr="00E325A4" w:rsidP="00176A39" w14:paraId="26966D3D" w14:textId="77777777">
            <w:pPr>
              <w:jc w:val="left"/>
              <w:rPr>
                <w:w w:val="100"/>
                <w:szCs w:val="22"/>
              </w:rPr>
            </w:pPr>
          </w:p>
        </w:tc>
        <w:tc>
          <w:tcPr>
            <w:tcW w:w="5984" w:type="dxa"/>
          </w:tcPr>
          <w:p w:rsidR="00AF77D2" w:rsidRPr="00E325A4" w:rsidP="003A2888" w14:paraId="73E9944D" w14:textId="77777777">
            <w:pPr>
              <w:jc w:val="left"/>
              <w:rPr>
                <w:w w:val="100"/>
                <w:szCs w:val="22"/>
              </w:rPr>
            </w:pPr>
            <w:r w:rsidRPr="00E325A4">
              <w:rPr>
                <w:w w:val="100"/>
                <w:szCs w:val="22"/>
              </w:rPr>
              <w:t>Vor- und Nachname des Investors und des Ansprechpartners, ggf. Firmenwortlaut laut Firmenbuch, Firmenbuchnummer, Sitzadresse laut Firmenbuch</w:t>
            </w:r>
            <w:r w:rsidRPr="00E325A4" w:rsidR="005C2201">
              <w:rPr>
                <w:w w:val="100"/>
                <w:szCs w:val="22"/>
              </w:rPr>
              <w:t>.</w:t>
            </w:r>
          </w:p>
        </w:tc>
      </w:tr>
      <w:tr w14:paraId="51D82E4B" w14:textId="77777777" w:rsidTr="00E325A4">
        <w:tblPrEx>
          <w:tblW w:w="14596" w:type="dxa"/>
          <w:tblLook w:val="04A0"/>
        </w:tblPrEx>
        <w:trPr>
          <w:cantSplit/>
        </w:trPr>
        <w:tc>
          <w:tcPr>
            <w:tcW w:w="3500" w:type="dxa"/>
          </w:tcPr>
          <w:p w:rsidR="00AF77D2" w:rsidP="000973D4" w14:paraId="7A6C5EEC" w14:textId="77777777">
            <w:pPr>
              <w:jc w:val="left"/>
              <w:rPr>
                <w:b/>
                <w:w w:val="100"/>
                <w:szCs w:val="22"/>
                <w:lang w:val="de-DE"/>
              </w:rPr>
            </w:pPr>
            <w:r w:rsidRPr="00E325A4">
              <w:rPr>
                <w:b/>
                <w:w w:val="100"/>
                <w:szCs w:val="22"/>
                <w:lang w:val="de-DE"/>
              </w:rPr>
              <w:t>Investment</w:t>
            </w:r>
          </w:p>
          <w:p w:rsidR="00F33F74" w:rsidRPr="00F33F74" w:rsidP="00F33F74" w14:paraId="6A68B2D0" w14:textId="77777777">
            <w:pPr>
              <w:rPr>
                <w:szCs w:val="22"/>
                <w:lang w:val="de-DE"/>
              </w:rPr>
            </w:pPr>
          </w:p>
          <w:p w:rsidR="00F33F74" w:rsidRPr="00F33F74" w:rsidP="00F33F74" w14:paraId="2D5DFB93" w14:textId="77777777">
            <w:pPr>
              <w:rPr>
                <w:szCs w:val="22"/>
                <w:lang w:val="de-DE"/>
              </w:rPr>
            </w:pPr>
          </w:p>
          <w:p w:rsidR="00F33F74" w:rsidRPr="00F33F74" w:rsidP="00F33F74" w14:paraId="6A830938" w14:textId="77777777">
            <w:pPr>
              <w:rPr>
                <w:szCs w:val="22"/>
                <w:lang w:val="de-DE"/>
              </w:rPr>
            </w:pPr>
          </w:p>
          <w:p w:rsidR="00F33F74" w:rsidRPr="00F33F74" w:rsidP="00F33F74" w14:paraId="3180317A" w14:textId="77777777">
            <w:pPr>
              <w:rPr>
                <w:szCs w:val="22"/>
                <w:lang w:val="de-DE"/>
              </w:rPr>
            </w:pPr>
          </w:p>
          <w:p w:rsidR="00F33F74" w:rsidRPr="00F33F74" w:rsidP="00F33F74" w14:paraId="22818941" w14:textId="77777777">
            <w:pPr>
              <w:rPr>
                <w:szCs w:val="22"/>
                <w:lang w:val="de-DE"/>
              </w:rPr>
            </w:pPr>
          </w:p>
          <w:p w:rsidR="00F33F74" w:rsidRPr="00F33F74" w:rsidP="00F33F74" w14:paraId="399A2DB9" w14:textId="77777777">
            <w:pPr>
              <w:rPr>
                <w:szCs w:val="22"/>
                <w:lang w:val="de-DE"/>
              </w:rPr>
            </w:pPr>
          </w:p>
          <w:p w:rsidR="00F33F74" w:rsidRPr="00F33F74" w:rsidP="00F33F74" w14:paraId="1F9971E3" w14:textId="77777777">
            <w:pPr>
              <w:rPr>
                <w:szCs w:val="22"/>
                <w:lang w:val="de-DE"/>
              </w:rPr>
            </w:pPr>
          </w:p>
          <w:p w:rsidR="00F33F74" w:rsidRPr="00F33F74" w:rsidP="00F33F74" w14:paraId="5281D47B" w14:textId="77777777">
            <w:pPr>
              <w:rPr>
                <w:szCs w:val="22"/>
                <w:lang w:val="de-DE"/>
              </w:rPr>
            </w:pPr>
          </w:p>
          <w:p w:rsidR="00F33F74" w:rsidRPr="00F33F74" w:rsidP="00F33F74" w14:paraId="73D037F5" w14:textId="77777777">
            <w:pPr>
              <w:rPr>
                <w:szCs w:val="22"/>
                <w:lang w:val="de-DE"/>
              </w:rPr>
            </w:pPr>
          </w:p>
        </w:tc>
        <w:tc>
          <w:tcPr>
            <w:tcW w:w="5112" w:type="dxa"/>
          </w:tcPr>
          <w:p w:rsidR="00AF77D2" w:rsidRPr="00E325A4" w:rsidP="00AF77D2" w14:paraId="15FFA70B" w14:textId="77777777">
            <w:pPr>
              <w:jc w:val="left"/>
              <w:rPr>
                <w:w w:val="100"/>
                <w:szCs w:val="22"/>
              </w:rPr>
            </w:pPr>
            <w:r w:rsidRPr="00E325A4">
              <w:rPr>
                <w:w w:val="100"/>
                <w:szCs w:val="22"/>
              </w:rPr>
              <w:t>Die Investoren beabsichtigen, einen Gesamtbetrag von EUR</w:t>
            </w:r>
            <w:r w:rsidRPr="00E325A4" w:rsidR="00755D37">
              <w:rPr>
                <w:w w:val="100"/>
                <w:szCs w:val="22"/>
              </w:rPr>
              <w:t xml:space="preserve"> 1 Mio.</w:t>
            </w:r>
            <w:r w:rsidRPr="00E325A4" w:rsidR="00176A39">
              <w:rPr>
                <w:w w:val="100"/>
                <w:szCs w:val="22"/>
              </w:rPr>
              <w:t xml:space="preserve"> </w:t>
            </w:r>
            <w:r w:rsidRPr="00E325A4">
              <w:rPr>
                <w:w w:val="100"/>
                <w:szCs w:val="22"/>
              </w:rPr>
              <w:t xml:space="preserve">gegen </w:t>
            </w:r>
            <w:r w:rsidRPr="00E325A4" w:rsidR="00C01638">
              <w:rPr>
                <w:w w:val="100"/>
                <w:szCs w:val="22"/>
              </w:rPr>
              <w:t xml:space="preserve">den Erhalt von </w:t>
            </w:r>
            <w:r w:rsidRPr="00E325A4" w:rsidR="00176A39">
              <w:rPr>
                <w:w w:val="100"/>
                <w:szCs w:val="22"/>
              </w:rPr>
              <w:t>Geschäftsanteile in das Unternehmen zu investieren,</w:t>
            </w:r>
            <w:r w:rsidRPr="00E325A4">
              <w:rPr>
                <w:w w:val="100"/>
                <w:szCs w:val="22"/>
              </w:rPr>
              <w:t xml:space="preserve"> wobei jeder </w:t>
            </w:r>
            <w:r w:rsidRPr="00E325A4" w:rsidR="00176A39">
              <w:rPr>
                <w:w w:val="100"/>
                <w:szCs w:val="22"/>
              </w:rPr>
              <w:t>Investor</w:t>
            </w:r>
            <w:r w:rsidRPr="00E325A4">
              <w:rPr>
                <w:w w:val="100"/>
                <w:szCs w:val="22"/>
              </w:rPr>
              <w:t xml:space="preserve"> den folgenden Betrag einzahlt:</w:t>
            </w:r>
          </w:p>
          <w:p w:rsidR="00176A39" w:rsidRPr="00E325A4" w:rsidP="00AF77D2" w14:paraId="0BB82059" w14:textId="77777777">
            <w:pPr>
              <w:jc w:val="left"/>
              <w:rPr>
                <w:w w:val="100"/>
                <w:szCs w:val="22"/>
              </w:rPr>
            </w:pPr>
          </w:p>
          <w:p w:rsidR="00755D37" w:rsidRPr="00E325A4" w:rsidP="00AF77D2" w14:paraId="31BDB785" w14:textId="77777777">
            <w:pPr>
              <w:jc w:val="left"/>
              <w:rPr>
                <w:w w:val="100"/>
                <w:szCs w:val="22"/>
              </w:rPr>
            </w:pPr>
            <w:r w:rsidRPr="00E325A4">
              <w:rPr>
                <w:w w:val="100"/>
                <w:szCs w:val="22"/>
              </w:rPr>
              <w:t>Investment GmbH: EUR 800.000</w:t>
            </w:r>
          </w:p>
          <w:p w:rsidR="00AF77D2" w:rsidRPr="00E325A4" w:rsidP="00755D37" w14:paraId="56364434" w14:textId="77777777">
            <w:pPr>
              <w:jc w:val="left"/>
              <w:rPr>
                <w:w w:val="100"/>
                <w:szCs w:val="22"/>
              </w:rPr>
            </w:pPr>
            <w:r w:rsidRPr="00E325A4">
              <w:rPr>
                <w:w w:val="100"/>
                <w:szCs w:val="22"/>
              </w:rPr>
              <w:t>WinWin AG: EUR 200.000</w:t>
            </w:r>
          </w:p>
          <w:p w:rsidR="005C2201" w:rsidRPr="00E325A4" w:rsidP="00755D37" w14:paraId="7AE36564" w14:textId="77777777">
            <w:pPr>
              <w:jc w:val="left"/>
              <w:rPr>
                <w:w w:val="100"/>
                <w:szCs w:val="22"/>
              </w:rPr>
            </w:pPr>
          </w:p>
        </w:tc>
        <w:tc>
          <w:tcPr>
            <w:tcW w:w="5984" w:type="dxa"/>
          </w:tcPr>
          <w:p w:rsidR="00AF77D2" w:rsidRPr="00E325A4" w:rsidP="00755D37" w14:paraId="00B599C1" w14:textId="77777777">
            <w:pPr>
              <w:jc w:val="left"/>
              <w:rPr>
                <w:w w:val="100"/>
                <w:szCs w:val="22"/>
              </w:rPr>
            </w:pPr>
            <w:r w:rsidRPr="00E325A4">
              <w:rPr>
                <w:w w:val="100"/>
                <w:szCs w:val="22"/>
              </w:rPr>
              <w:t xml:space="preserve">Der von allen Investoren aufzubringende Gesamtbetrag. </w:t>
            </w:r>
          </w:p>
        </w:tc>
      </w:tr>
      <w:tr w14:paraId="1A4657A4" w14:textId="77777777" w:rsidTr="00E325A4">
        <w:tblPrEx>
          <w:tblW w:w="14596" w:type="dxa"/>
          <w:tblLook w:val="04A0"/>
        </w:tblPrEx>
        <w:trPr>
          <w:cantSplit/>
        </w:trPr>
        <w:tc>
          <w:tcPr>
            <w:tcW w:w="3500" w:type="dxa"/>
          </w:tcPr>
          <w:p w:rsidR="00FA60D0" w:rsidRPr="00E325A4" w:rsidP="00755D37" w14:paraId="6D74E164" w14:textId="77777777">
            <w:pPr>
              <w:jc w:val="left"/>
              <w:rPr>
                <w:b/>
                <w:w w:val="100"/>
                <w:szCs w:val="22"/>
                <w:lang w:val="de-DE"/>
              </w:rPr>
            </w:pPr>
            <w:r w:rsidRPr="00E325A4">
              <w:rPr>
                <w:b/>
                <w:w w:val="100"/>
                <w:szCs w:val="22"/>
                <w:lang w:val="de-DE"/>
              </w:rPr>
              <w:t>Art der Beteiligung</w:t>
            </w:r>
          </w:p>
        </w:tc>
        <w:tc>
          <w:tcPr>
            <w:tcW w:w="5112" w:type="dxa"/>
          </w:tcPr>
          <w:p w:rsidR="003E13F3" w:rsidRPr="00E325A4" w:rsidP="0026711B" w14:paraId="37F79F15" w14:textId="77777777">
            <w:pPr>
              <w:jc w:val="left"/>
              <w:rPr>
                <w:w w:val="100"/>
                <w:szCs w:val="22"/>
              </w:rPr>
            </w:pPr>
            <w:r w:rsidRPr="00E325A4">
              <w:rPr>
                <w:w w:val="100"/>
                <w:szCs w:val="22"/>
              </w:rPr>
              <w:t xml:space="preserve">Die Bezahlung des Betrags iHv. </w:t>
            </w:r>
            <w:r w:rsidRPr="00E325A4" w:rsidR="006E5F71">
              <w:rPr>
                <w:w w:val="100"/>
                <w:szCs w:val="22"/>
              </w:rPr>
              <w:t>800.000</w:t>
            </w:r>
            <w:r w:rsidRPr="00E325A4">
              <w:rPr>
                <w:w w:val="100"/>
                <w:szCs w:val="22"/>
              </w:rPr>
              <w:t xml:space="preserve"> Euro erfolgt als direkte Gegenleistung für den Kauf der </w:t>
            </w:r>
            <w:r w:rsidRPr="00E325A4" w:rsidR="006E5F71">
              <w:rPr>
                <w:w w:val="100"/>
                <w:szCs w:val="22"/>
              </w:rPr>
              <w:t>Geschäftsanteile durch die Investment GmbH.</w:t>
            </w:r>
          </w:p>
          <w:p w:rsidR="006E5F71" w:rsidRPr="00E325A4" w:rsidP="0026711B" w14:paraId="319EB5E2" w14:textId="77777777">
            <w:pPr>
              <w:jc w:val="left"/>
              <w:rPr>
                <w:w w:val="100"/>
                <w:szCs w:val="22"/>
              </w:rPr>
            </w:pPr>
          </w:p>
          <w:p w:rsidR="006E5F71" w:rsidRPr="00E325A4" w:rsidP="006E5F71" w14:paraId="30B45CFE" w14:textId="77777777">
            <w:pPr>
              <w:jc w:val="left"/>
              <w:rPr>
                <w:w w:val="100"/>
                <w:szCs w:val="22"/>
              </w:rPr>
            </w:pPr>
            <w:r w:rsidRPr="00E325A4">
              <w:rPr>
                <w:w w:val="100"/>
                <w:szCs w:val="22"/>
              </w:rPr>
              <w:t>Die Bezahlung des Betrags iHv. 200.000 Euro erfolgt als direkte Gegenleistung für den Kauf der Geschäftsanteile durch die WinWin AG.</w:t>
            </w:r>
          </w:p>
          <w:p w:rsidR="006E5F71" w:rsidRPr="00E325A4" w:rsidP="0026711B" w14:paraId="12605777" w14:textId="77777777">
            <w:pPr>
              <w:jc w:val="left"/>
              <w:rPr>
                <w:w w:val="100"/>
                <w:szCs w:val="22"/>
              </w:rPr>
            </w:pPr>
          </w:p>
          <w:p w:rsidR="006E5F71" w:rsidRPr="00E325A4" w:rsidP="006E5F71" w14:paraId="150825E2" w14:textId="77777777">
            <w:pPr>
              <w:jc w:val="left"/>
              <w:rPr>
                <w:w w:val="100"/>
                <w:szCs w:val="22"/>
              </w:rPr>
            </w:pPr>
            <w:r w:rsidRPr="00E325A4">
              <w:rPr>
                <w:w w:val="100"/>
                <w:szCs w:val="22"/>
              </w:rPr>
              <w:t xml:space="preserve">Die seitens der Investment GmbH und WinWin AG erworbenen Geschäftsanteile sind mit einer Liquidationspräferenz ausgestattet.  </w:t>
            </w:r>
          </w:p>
          <w:p w:rsidR="005C2201" w:rsidRPr="00E325A4" w:rsidP="006E5F71" w14:paraId="74A204AC" w14:textId="77777777">
            <w:pPr>
              <w:jc w:val="left"/>
              <w:rPr>
                <w:w w:val="100"/>
                <w:szCs w:val="22"/>
              </w:rPr>
            </w:pPr>
          </w:p>
        </w:tc>
        <w:tc>
          <w:tcPr>
            <w:tcW w:w="5984" w:type="dxa"/>
          </w:tcPr>
          <w:p w:rsidR="00755D37" w:rsidRPr="00E325A4" w:rsidP="005B22F5" w14:paraId="069A35D2" w14:textId="77777777">
            <w:pPr>
              <w:rPr>
                <w:w w:val="100"/>
                <w:szCs w:val="22"/>
              </w:rPr>
            </w:pPr>
            <w:r w:rsidRPr="00E325A4">
              <w:rPr>
                <w:w w:val="100"/>
                <w:szCs w:val="22"/>
              </w:rPr>
              <w:t xml:space="preserve">Hinweis: </w:t>
            </w:r>
            <w:r w:rsidRPr="00E325A4" w:rsidR="006E5F71">
              <w:rPr>
                <w:w w:val="100"/>
                <w:szCs w:val="22"/>
              </w:rPr>
              <w:t>Im Zuge der Förderungsaktion Start!Klar plus k</w:t>
            </w:r>
            <w:r w:rsidRPr="00E325A4">
              <w:rPr>
                <w:w w:val="100"/>
                <w:szCs w:val="22"/>
              </w:rPr>
              <w:t xml:space="preserve">önnen nur Unternehmen gefördert werden, die beabsichtigen Investoren durch ein Cash Investment zu beteiligen. </w:t>
            </w:r>
          </w:p>
          <w:p w:rsidR="00A54C88" w:rsidRPr="00E325A4" w:rsidP="005B22F5" w14:paraId="650F6C2A" w14:textId="77777777">
            <w:pPr>
              <w:rPr>
                <w:w w:val="100"/>
                <w:szCs w:val="22"/>
              </w:rPr>
            </w:pPr>
            <w:r w:rsidRPr="00E325A4">
              <w:rPr>
                <w:w w:val="100"/>
                <w:szCs w:val="22"/>
              </w:rPr>
              <w:t xml:space="preserve"> </w:t>
            </w:r>
          </w:p>
          <w:p w:rsidR="00FA60D0" w:rsidRPr="00E325A4" w:rsidP="006E5F71" w14:paraId="1BB56DEA" w14:textId="77777777">
            <w:pPr>
              <w:rPr>
                <w:w w:val="100"/>
                <w:szCs w:val="22"/>
              </w:rPr>
            </w:pPr>
          </w:p>
        </w:tc>
      </w:tr>
      <w:tr w14:paraId="544CEDD7" w14:textId="77777777" w:rsidTr="00E325A4">
        <w:tblPrEx>
          <w:tblW w:w="14596" w:type="dxa"/>
          <w:tblLook w:val="04A0"/>
        </w:tblPrEx>
        <w:trPr>
          <w:cantSplit/>
        </w:trPr>
        <w:tc>
          <w:tcPr>
            <w:tcW w:w="3500" w:type="dxa"/>
          </w:tcPr>
          <w:p w:rsidR="00AF77D2" w:rsidRPr="00E325A4" w:rsidP="00A54C88" w14:paraId="179CF9CF" w14:textId="77777777">
            <w:pPr>
              <w:jc w:val="left"/>
              <w:rPr>
                <w:b/>
                <w:w w:val="100"/>
                <w:szCs w:val="22"/>
                <w:lang w:val="de-DE"/>
              </w:rPr>
            </w:pPr>
            <w:r w:rsidRPr="00E325A4">
              <w:rPr>
                <w:b/>
                <w:w w:val="100"/>
                <w:szCs w:val="22"/>
                <w:lang w:val="de-DE"/>
              </w:rPr>
              <w:t xml:space="preserve">Pre-Money </w:t>
            </w:r>
            <w:r w:rsidRPr="00E325A4" w:rsidR="00A54C88">
              <w:rPr>
                <w:b/>
                <w:w w:val="100"/>
                <w:szCs w:val="22"/>
                <w:lang w:val="de-DE"/>
              </w:rPr>
              <w:t>Bewertung</w:t>
            </w:r>
          </w:p>
        </w:tc>
        <w:tc>
          <w:tcPr>
            <w:tcW w:w="5112" w:type="dxa"/>
          </w:tcPr>
          <w:p w:rsidR="00AF77D2" w:rsidRPr="00E325A4" w:rsidP="003250D9" w14:paraId="7C283BC2" w14:textId="77777777">
            <w:pPr>
              <w:jc w:val="left"/>
              <w:rPr>
                <w:w w:val="100"/>
                <w:szCs w:val="22"/>
              </w:rPr>
            </w:pPr>
            <w:r w:rsidRPr="00E325A4">
              <w:rPr>
                <w:w w:val="100"/>
                <w:szCs w:val="22"/>
              </w:rPr>
              <w:t xml:space="preserve">EUR </w:t>
            </w:r>
            <w:r w:rsidRPr="00E325A4" w:rsidR="003250D9">
              <w:rPr>
                <w:w w:val="100"/>
                <w:szCs w:val="22"/>
              </w:rPr>
              <w:t>XX</w:t>
            </w:r>
            <w:r w:rsidRPr="00E325A4" w:rsidR="00A54C88">
              <w:rPr>
                <w:w w:val="100"/>
                <w:szCs w:val="22"/>
              </w:rPr>
              <w:t xml:space="preserve"> Mio. </w:t>
            </w:r>
          </w:p>
        </w:tc>
        <w:tc>
          <w:tcPr>
            <w:tcW w:w="5984" w:type="dxa"/>
          </w:tcPr>
          <w:p w:rsidR="00385C22" w:rsidRPr="00E325A4" w:rsidP="00D42D2F" w14:paraId="2E897F35" w14:textId="77777777">
            <w:pPr>
              <w:jc w:val="left"/>
              <w:rPr>
                <w:w w:val="100"/>
                <w:szCs w:val="22"/>
                <w:highlight w:val="yellow"/>
              </w:rPr>
            </w:pPr>
            <w:r w:rsidRPr="00E325A4">
              <w:rPr>
                <w:w w:val="100"/>
                <w:szCs w:val="22"/>
              </w:rPr>
              <w:t xml:space="preserve">Die Pre-Money Bewertung ist der </w:t>
            </w:r>
            <w:r w:rsidRPr="00E325A4" w:rsidR="00A54C88">
              <w:rPr>
                <w:w w:val="100"/>
                <w:szCs w:val="22"/>
              </w:rPr>
              <w:t xml:space="preserve">Wert des Unternehmens vor der aktuellen Finanzierungsrunde. </w:t>
            </w:r>
            <w:r w:rsidRPr="00E325A4" w:rsidR="00D42D2F">
              <w:rPr>
                <w:w w:val="100"/>
                <w:szCs w:val="22"/>
              </w:rPr>
              <w:t xml:space="preserve">Es soll eine </w:t>
            </w:r>
            <w:r w:rsidRPr="00E325A4" w:rsidR="00A54C88">
              <w:rPr>
                <w:w w:val="100"/>
                <w:szCs w:val="22"/>
              </w:rPr>
              <w:t>Bewertung nach allge</w:t>
            </w:r>
            <w:r w:rsidRPr="00E325A4" w:rsidR="00D42D2F">
              <w:rPr>
                <w:w w:val="100"/>
                <w:szCs w:val="22"/>
              </w:rPr>
              <w:t>meinen Bewertungskriterien und -</w:t>
            </w:r>
            <w:r w:rsidRPr="00E325A4" w:rsidR="00A54C88">
              <w:rPr>
                <w:w w:val="100"/>
                <w:szCs w:val="22"/>
              </w:rPr>
              <w:t xml:space="preserve">verfahren </w:t>
            </w:r>
            <w:r w:rsidRPr="00E325A4" w:rsidR="004D1F62">
              <w:rPr>
                <w:w w:val="100"/>
                <w:szCs w:val="22"/>
              </w:rPr>
              <w:t>(</w:t>
            </w:r>
            <w:r w:rsidRPr="00E325A4" w:rsidR="004E6D95">
              <w:rPr>
                <w:w w:val="100"/>
                <w:szCs w:val="22"/>
              </w:rPr>
              <w:t xml:space="preserve">z.B. </w:t>
            </w:r>
            <w:r w:rsidRPr="00E325A4" w:rsidR="004D1F62">
              <w:rPr>
                <w:w w:val="100"/>
                <w:szCs w:val="22"/>
              </w:rPr>
              <w:t>Multiples-Verfahren, Venture Capital-Methode</w:t>
            </w:r>
            <w:r w:rsidRPr="00E325A4" w:rsidR="004E6D95">
              <w:rPr>
                <w:w w:val="100"/>
                <w:szCs w:val="22"/>
              </w:rPr>
              <w:t xml:space="preserve">) </w:t>
            </w:r>
            <w:r w:rsidRPr="00E325A4" w:rsidR="00A54C88">
              <w:rPr>
                <w:w w:val="100"/>
                <w:szCs w:val="22"/>
              </w:rPr>
              <w:t>erfolgen</w:t>
            </w:r>
            <w:r w:rsidRPr="00E325A4" w:rsidR="00D42D2F">
              <w:rPr>
                <w:w w:val="100"/>
                <w:szCs w:val="22"/>
              </w:rPr>
              <w:t xml:space="preserve">. </w:t>
            </w:r>
          </w:p>
          <w:p w:rsidR="00D42D2F" w:rsidRPr="00E325A4" w:rsidP="00D42D2F" w14:paraId="6BE1E64C" w14:textId="77777777">
            <w:pPr>
              <w:jc w:val="left"/>
              <w:rPr>
                <w:w w:val="100"/>
                <w:szCs w:val="22"/>
              </w:rPr>
            </w:pPr>
          </w:p>
        </w:tc>
      </w:tr>
      <w:tr w14:paraId="2A16370F" w14:textId="77777777" w:rsidTr="00E325A4">
        <w:tblPrEx>
          <w:tblW w:w="14596" w:type="dxa"/>
          <w:tblLook w:val="04A0"/>
        </w:tblPrEx>
        <w:trPr>
          <w:cantSplit/>
        </w:trPr>
        <w:tc>
          <w:tcPr>
            <w:tcW w:w="3500" w:type="dxa"/>
          </w:tcPr>
          <w:p w:rsidR="005C2201" w:rsidRPr="00E325A4" w:rsidP="005C2201" w14:paraId="264D313E" w14:textId="77777777">
            <w:pPr>
              <w:jc w:val="left"/>
              <w:rPr>
                <w:b/>
                <w:w w:val="100"/>
                <w:szCs w:val="22"/>
                <w:lang w:val="de-DE"/>
              </w:rPr>
            </w:pPr>
            <w:r w:rsidRPr="00E325A4">
              <w:rPr>
                <w:b/>
                <w:w w:val="100"/>
                <w:szCs w:val="22"/>
                <w:lang w:val="de-DE"/>
              </w:rPr>
              <w:t>Verteilung der Anteile</w:t>
            </w:r>
          </w:p>
          <w:p w:rsidR="00AF77D2" w:rsidRPr="00E325A4" w:rsidP="005C2201" w14:paraId="7A66CCB8" w14:textId="77777777">
            <w:pPr>
              <w:jc w:val="left"/>
              <w:rPr>
                <w:b/>
                <w:w w:val="100"/>
                <w:szCs w:val="22"/>
                <w:lang w:val="de-DE"/>
              </w:rPr>
            </w:pPr>
            <w:r w:rsidRPr="00E325A4">
              <w:rPr>
                <w:b/>
                <w:w w:val="100"/>
                <w:szCs w:val="22"/>
                <w:lang w:val="de-DE"/>
              </w:rPr>
              <w:t>(</w:t>
            </w:r>
            <w:r w:rsidRPr="00E325A4" w:rsidR="001553B2">
              <w:rPr>
                <w:b/>
                <w:w w:val="100"/>
                <w:szCs w:val="22"/>
                <w:lang w:val="de-DE"/>
              </w:rPr>
              <w:t>Cap Table</w:t>
            </w:r>
            <w:r w:rsidRPr="00E325A4">
              <w:rPr>
                <w:b/>
                <w:w w:val="100"/>
                <w:szCs w:val="22"/>
                <w:lang w:val="de-DE"/>
              </w:rPr>
              <w:t>)</w:t>
            </w:r>
          </w:p>
        </w:tc>
        <w:tc>
          <w:tcPr>
            <w:tcW w:w="5112" w:type="dxa"/>
          </w:tcPr>
          <w:p w:rsidR="00D42D2F" w:rsidRPr="00E325A4" w:rsidP="00D42D2F" w14:paraId="54C8ADB2" w14:textId="77777777">
            <w:pPr>
              <w:jc w:val="left"/>
              <w:rPr>
                <w:w w:val="100"/>
                <w:szCs w:val="22"/>
              </w:rPr>
            </w:pPr>
            <w:r w:rsidRPr="00E325A4">
              <w:rPr>
                <w:w w:val="100"/>
                <w:szCs w:val="22"/>
              </w:rPr>
              <w:t xml:space="preserve">Nach der Kapitalerhöhung </w:t>
            </w:r>
            <w:r w:rsidRPr="00E325A4" w:rsidR="00402027">
              <w:rPr>
                <w:w w:val="100"/>
                <w:szCs w:val="22"/>
              </w:rPr>
              <w:t xml:space="preserve">soll </w:t>
            </w:r>
            <w:r w:rsidRPr="00E325A4">
              <w:rPr>
                <w:w w:val="100"/>
                <w:szCs w:val="22"/>
              </w:rPr>
              <w:t xml:space="preserve">sich das Stammkapital der Gesellschaft, wie im Cap Table gemäß Anhang 1 dargestellt, aufteilen. </w:t>
            </w:r>
          </w:p>
          <w:p w:rsidR="00D42D2F" w:rsidRPr="00E325A4" w:rsidP="00D42D2F" w14:paraId="31BC736F" w14:textId="77777777">
            <w:pPr>
              <w:jc w:val="left"/>
              <w:rPr>
                <w:w w:val="100"/>
                <w:szCs w:val="22"/>
              </w:rPr>
            </w:pPr>
          </w:p>
        </w:tc>
        <w:tc>
          <w:tcPr>
            <w:tcW w:w="5984" w:type="dxa"/>
          </w:tcPr>
          <w:p w:rsidR="00D42D2F" w:rsidRPr="00E325A4" w:rsidP="00402027" w14:paraId="25A54723" w14:textId="77777777">
            <w:pPr>
              <w:jc w:val="left"/>
              <w:rPr>
                <w:w w:val="100"/>
                <w:szCs w:val="22"/>
              </w:rPr>
            </w:pPr>
            <w:r w:rsidRPr="00E325A4">
              <w:rPr>
                <w:w w:val="100"/>
                <w:szCs w:val="22"/>
              </w:rPr>
              <w:t xml:space="preserve">Aus dem Cap Table ergibt sich die Kapitalverteilung vor und nach Abschluss der Finanzierungsrunde. </w:t>
            </w:r>
            <w:r w:rsidRPr="00E325A4" w:rsidR="00402027">
              <w:rPr>
                <w:w w:val="100"/>
                <w:szCs w:val="22"/>
              </w:rPr>
              <w:t xml:space="preserve">Mithilfe der Excel-Datei können vor und während der Verhandlungsgespräche verschiedene Konstellationen berechnet werden. </w:t>
            </w:r>
          </w:p>
          <w:p w:rsidR="005C2201" w:rsidRPr="00E325A4" w:rsidP="00402027" w14:paraId="50A6CD13" w14:textId="77777777">
            <w:pPr>
              <w:jc w:val="left"/>
              <w:rPr>
                <w:w w:val="100"/>
                <w:szCs w:val="22"/>
              </w:rPr>
            </w:pPr>
          </w:p>
        </w:tc>
      </w:tr>
      <w:tr w14:paraId="046559A1" w14:textId="77777777" w:rsidTr="00E325A4">
        <w:tblPrEx>
          <w:tblW w:w="14596" w:type="dxa"/>
          <w:tblLook w:val="04A0"/>
        </w:tblPrEx>
        <w:trPr>
          <w:cantSplit/>
        </w:trPr>
        <w:tc>
          <w:tcPr>
            <w:tcW w:w="3500" w:type="dxa"/>
          </w:tcPr>
          <w:p w:rsidR="00DD0390" w:rsidRPr="00E325A4" w:rsidP="005C5778" w14:paraId="314AF62B" w14:textId="77777777">
            <w:pPr>
              <w:jc w:val="left"/>
              <w:rPr>
                <w:b/>
                <w:w w:val="100"/>
                <w:szCs w:val="22"/>
                <w:lang w:val="en-GB"/>
              </w:rPr>
            </w:pPr>
            <w:r w:rsidRPr="00E325A4">
              <w:rPr>
                <w:b/>
                <w:w w:val="100"/>
                <w:szCs w:val="22"/>
              </w:rPr>
              <w:t>Erlösvorzug (</w:t>
            </w:r>
            <w:r w:rsidRPr="00E325A4" w:rsidR="005C5778">
              <w:rPr>
                <w:b/>
                <w:w w:val="100"/>
                <w:szCs w:val="22"/>
              </w:rPr>
              <w:t>Liquidationspräferenz</w:t>
            </w:r>
            <w:r w:rsidRPr="00E325A4" w:rsidR="00884FD2">
              <w:rPr>
                <w:b/>
                <w:w w:val="100"/>
                <w:szCs w:val="22"/>
              </w:rPr>
              <w:t>)</w:t>
            </w:r>
          </w:p>
        </w:tc>
        <w:tc>
          <w:tcPr>
            <w:tcW w:w="5112" w:type="dxa"/>
          </w:tcPr>
          <w:p w:rsidR="0014756E" w:rsidRPr="00E325A4" w:rsidP="0026711B" w14:paraId="23D2A08C" w14:textId="77777777">
            <w:pPr>
              <w:jc w:val="left"/>
              <w:rPr>
                <w:w w:val="100"/>
                <w:szCs w:val="22"/>
              </w:rPr>
            </w:pPr>
            <w:r w:rsidRPr="00E325A4">
              <w:rPr>
                <w:w w:val="100"/>
                <w:szCs w:val="22"/>
              </w:rPr>
              <w:t xml:space="preserve">Erlösstufe 1: </w:t>
            </w:r>
            <w:r w:rsidRPr="00E325A4" w:rsidR="006E5F71">
              <w:rPr>
                <w:w w:val="100"/>
                <w:szCs w:val="22"/>
              </w:rPr>
              <w:t>Investment GmbH, WinWin AG</w:t>
            </w:r>
          </w:p>
          <w:p w:rsidR="0014756E" w:rsidRPr="00E325A4" w:rsidP="0026711B" w14:paraId="6265D4ED" w14:textId="77777777">
            <w:pPr>
              <w:jc w:val="left"/>
              <w:rPr>
                <w:w w:val="100"/>
                <w:szCs w:val="22"/>
              </w:rPr>
            </w:pPr>
          </w:p>
          <w:p w:rsidR="00150655" w:rsidRPr="00E325A4" w:rsidP="00150655" w14:paraId="77A67F88" w14:textId="77777777">
            <w:pPr>
              <w:jc w:val="left"/>
              <w:rPr>
                <w:w w:val="100"/>
                <w:szCs w:val="22"/>
              </w:rPr>
            </w:pPr>
            <w:r w:rsidRPr="00E325A4">
              <w:rPr>
                <w:w w:val="100"/>
                <w:szCs w:val="22"/>
              </w:rPr>
              <w:t xml:space="preserve">Die </w:t>
            </w:r>
            <w:r w:rsidRPr="00E325A4" w:rsidR="00BA753D">
              <w:rPr>
                <w:w w:val="100"/>
                <w:szCs w:val="22"/>
              </w:rPr>
              <w:t xml:space="preserve">Gesellschafter der Erlösstufe </w:t>
            </w:r>
            <w:r w:rsidRPr="00E325A4" w:rsidR="0014756E">
              <w:rPr>
                <w:w w:val="100"/>
                <w:szCs w:val="22"/>
              </w:rPr>
              <w:t xml:space="preserve">1 </w:t>
            </w:r>
            <w:r w:rsidRPr="00E325A4" w:rsidR="00BA753D">
              <w:rPr>
                <w:w w:val="100"/>
                <w:szCs w:val="22"/>
              </w:rPr>
              <w:t xml:space="preserve">erhalten im Falle einer </w:t>
            </w:r>
            <w:r w:rsidRPr="00E325A4" w:rsidR="0000458C">
              <w:rPr>
                <w:w w:val="100"/>
                <w:szCs w:val="22"/>
              </w:rPr>
              <w:t>Liquidation des Unternehmens ihr investier</w:t>
            </w:r>
            <w:r w:rsidRPr="00E325A4" w:rsidR="006E5F71">
              <w:rPr>
                <w:w w:val="100"/>
                <w:szCs w:val="22"/>
              </w:rPr>
              <w:t>tes Kapital (Investment GmbH: 800.000</w:t>
            </w:r>
            <w:r w:rsidRPr="00E325A4" w:rsidR="0000458C">
              <w:rPr>
                <w:w w:val="100"/>
                <w:szCs w:val="22"/>
              </w:rPr>
              <w:t xml:space="preserve"> Euro</w:t>
            </w:r>
            <w:r w:rsidRPr="00E325A4" w:rsidR="006E5F71">
              <w:rPr>
                <w:w w:val="100"/>
                <w:szCs w:val="22"/>
              </w:rPr>
              <w:t>, WinWin AG 200.000 Euro</w:t>
            </w:r>
            <w:r w:rsidRPr="00E325A4" w:rsidR="0000458C">
              <w:rPr>
                <w:w w:val="100"/>
                <w:szCs w:val="22"/>
              </w:rPr>
              <w:t xml:space="preserve">) zuzüglich einer Verzinsung iHv. </w:t>
            </w:r>
            <w:r w:rsidRPr="00E325A4" w:rsidR="006E5F71">
              <w:rPr>
                <w:w w:val="100"/>
                <w:szCs w:val="22"/>
              </w:rPr>
              <w:t>1</w:t>
            </w:r>
            <w:r w:rsidRPr="00E325A4" w:rsidR="003250D9">
              <w:rPr>
                <w:w w:val="100"/>
                <w:szCs w:val="22"/>
              </w:rPr>
              <w:t>5</w:t>
            </w:r>
            <w:r w:rsidRPr="00E325A4" w:rsidR="0000458C">
              <w:rPr>
                <w:w w:val="100"/>
                <w:szCs w:val="22"/>
              </w:rPr>
              <w:t xml:space="preserve"> Prozent </w:t>
            </w:r>
            <w:r w:rsidRPr="00E325A4" w:rsidR="00023C51">
              <w:rPr>
                <w:w w:val="100"/>
                <w:szCs w:val="22"/>
              </w:rPr>
              <w:t xml:space="preserve">p.a. </w:t>
            </w:r>
            <w:r w:rsidRPr="00E325A4" w:rsidR="0000458C">
              <w:rPr>
                <w:w w:val="100"/>
                <w:szCs w:val="22"/>
              </w:rPr>
              <w:t>vorrangig vor den weiteren Gesel</w:t>
            </w:r>
            <w:r w:rsidRPr="00E325A4" w:rsidR="006E5F71">
              <w:rPr>
                <w:w w:val="100"/>
                <w:szCs w:val="22"/>
              </w:rPr>
              <w:t>lschaftern (Unternehmensgründer</w:t>
            </w:r>
            <w:r w:rsidRPr="00E325A4" w:rsidR="0000458C">
              <w:rPr>
                <w:w w:val="100"/>
                <w:szCs w:val="22"/>
              </w:rPr>
              <w:t>, weitere nachrangig gestellte Gesellschafter).</w:t>
            </w:r>
            <w:r w:rsidRPr="00E325A4" w:rsidR="005C2201">
              <w:rPr>
                <w:w w:val="100"/>
                <w:szCs w:val="22"/>
              </w:rPr>
              <w:t xml:space="preserve"> </w:t>
            </w:r>
            <w:r w:rsidRPr="00E325A4" w:rsidR="0000458C">
              <w:rPr>
                <w:w w:val="100"/>
                <w:szCs w:val="22"/>
              </w:rPr>
              <w:t xml:space="preserve">Der verbleibende Liquidationserlös wird </w:t>
            </w:r>
            <w:r w:rsidRPr="00E325A4" w:rsidR="006032A4">
              <w:rPr>
                <w:w w:val="100"/>
                <w:szCs w:val="22"/>
              </w:rPr>
              <w:t>anteilsmäßig</w:t>
            </w:r>
            <w:r w:rsidRPr="00E325A4" w:rsidR="0000458C">
              <w:rPr>
                <w:w w:val="100"/>
                <w:szCs w:val="22"/>
              </w:rPr>
              <w:t xml:space="preserve"> unter den </w:t>
            </w:r>
            <w:r w:rsidRPr="00E325A4" w:rsidR="00324DA1">
              <w:rPr>
                <w:w w:val="100"/>
                <w:szCs w:val="22"/>
              </w:rPr>
              <w:t xml:space="preserve">weiteren </w:t>
            </w:r>
            <w:r w:rsidRPr="00E325A4" w:rsidR="0000458C">
              <w:rPr>
                <w:w w:val="100"/>
                <w:szCs w:val="22"/>
              </w:rPr>
              <w:t>Gesellschafte</w:t>
            </w:r>
            <w:r w:rsidRPr="00E325A4" w:rsidR="00324DA1">
              <w:rPr>
                <w:w w:val="100"/>
                <w:szCs w:val="22"/>
              </w:rPr>
              <w:t xml:space="preserve">rn des Unternehmens </w:t>
            </w:r>
            <w:r w:rsidRPr="00E325A4" w:rsidR="0000458C">
              <w:rPr>
                <w:w w:val="100"/>
                <w:szCs w:val="22"/>
              </w:rPr>
              <w:t xml:space="preserve">aufgeteilt und es wird keine Anrechnung des Erlösvorzugs der </w:t>
            </w:r>
            <w:r w:rsidRPr="00E325A4" w:rsidR="00324DA1">
              <w:rPr>
                <w:w w:val="100"/>
                <w:szCs w:val="22"/>
              </w:rPr>
              <w:t>Investoren/</w:t>
            </w:r>
            <w:r w:rsidRPr="00E325A4" w:rsidR="0014756E">
              <w:rPr>
                <w:w w:val="100"/>
                <w:szCs w:val="22"/>
              </w:rPr>
              <w:t xml:space="preserve">Gesellschafter der </w:t>
            </w:r>
            <w:r w:rsidRPr="00E325A4" w:rsidR="0000458C">
              <w:rPr>
                <w:w w:val="100"/>
                <w:szCs w:val="22"/>
              </w:rPr>
              <w:t>Erlösstufe 1 vorgenommen.</w:t>
            </w:r>
          </w:p>
        </w:tc>
        <w:tc>
          <w:tcPr>
            <w:tcW w:w="5984" w:type="dxa"/>
          </w:tcPr>
          <w:p w:rsidR="00150655" w:rsidRPr="00E325A4" w:rsidP="002603D1" w14:paraId="497772C6" w14:textId="77777777">
            <w:pPr>
              <w:jc w:val="left"/>
              <w:rPr>
                <w:w w:val="100"/>
                <w:szCs w:val="22"/>
              </w:rPr>
            </w:pPr>
            <w:r w:rsidRPr="00E325A4">
              <w:rPr>
                <w:w w:val="100"/>
                <w:szCs w:val="22"/>
              </w:rPr>
              <w:t>Im Rahmen der Liquidationspräferenz wird festgelegt</w:t>
            </w:r>
            <w:r w:rsidRPr="00E325A4" w:rsidR="00F93F24">
              <w:rPr>
                <w:w w:val="100"/>
                <w:szCs w:val="22"/>
              </w:rPr>
              <w:t xml:space="preserve">, welche Investoren/Gesellschafter </w:t>
            </w:r>
            <w:r w:rsidRPr="00E325A4">
              <w:rPr>
                <w:w w:val="100"/>
                <w:szCs w:val="22"/>
              </w:rPr>
              <w:t>im Falle einer</w:t>
            </w:r>
            <w:r w:rsidRPr="00E325A4" w:rsidR="00F93F24">
              <w:rPr>
                <w:w w:val="100"/>
                <w:szCs w:val="22"/>
              </w:rPr>
              <w:t xml:space="preserve"> </w:t>
            </w:r>
            <w:r w:rsidRPr="00E325A4">
              <w:rPr>
                <w:w w:val="100"/>
                <w:szCs w:val="22"/>
              </w:rPr>
              <w:t>Auflösung</w:t>
            </w:r>
            <w:r w:rsidRPr="00E325A4" w:rsidR="00F93F24">
              <w:rPr>
                <w:w w:val="100"/>
                <w:szCs w:val="22"/>
              </w:rPr>
              <w:t xml:space="preserve"> des Unternehmens hinsichtlich des Liquidationserlöses bevorzugt behandelt werden</w:t>
            </w:r>
            <w:r w:rsidRPr="00E325A4">
              <w:rPr>
                <w:w w:val="100"/>
                <w:szCs w:val="22"/>
              </w:rPr>
              <w:t xml:space="preserve">, bevor die </w:t>
            </w:r>
            <w:r w:rsidRPr="00E325A4" w:rsidR="00BA753D">
              <w:rPr>
                <w:w w:val="100"/>
                <w:szCs w:val="22"/>
              </w:rPr>
              <w:t>Unternehmensgründer und weitere nachrangig gestellte</w:t>
            </w:r>
            <w:r w:rsidRPr="00E325A4">
              <w:rPr>
                <w:w w:val="100"/>
                <w:szCs w:val="22"/>
              </w:rPr>
              <w:t xml:space="preserve"> Gesellschafter bedient werden</w:t>
            </w:r>
            <w:r w:rsidRPr="00E325A4" w:rsidR="00F93F24">
              <w:rPr>
                <w:w w:val="100"/>
                <w:szCs w:val="22"/>
              </w:rPr>
              <w:t>.</w:t>
            </w:r>
          </w:p>
          <w:p w:rsidR="00150655" w:rsidRPr="00E325A4" w:rsidP="002603D1" w14:paraId="067B0534" w14:textId="77777777">
            <w:pPr>
              <w:jc w:val="left"/>
              <w:rPr>
                <w:w w:val="100"/>
                <w:szCs w:val="22"/>
              </w:rPr>
            </w:pPr>
          </w:p>
          <w:p w:rsidR="002603D1" w:rsidRPr="00E325A4" w:rsidP="00255FE6" w14:paraId="38834540" w14:textId="77777777">
            <w:pPr>
              <w:jc w:val="left"/>
              <w:rPr>
                <w:w w:val="100"/>
                <w:szCs w:val="22"/>
              </w:rPr>
            </w:pPr>
            <w:r w:rsidRPr="00E325A4">
              <w:rPr>
                <w:w w:val="100"/>
                <w:szCs w:val="22"/>
              </w:rPr>
              <w:t xml:space="preserve">Die Verteilung des Liquidationserlöses erfolgt </w:t>
            </w:r>
            <w:r w:rsidRPr="00E325A4" w:rsidR="00A31DDA">
              <w:rPr>
                <w:w w:val="100"/>
                <w:szCs w:val="22"/>
              </w:rPr>
              <w:t xml:space="preserve">in Erlösstufen. </w:t>
            </w:r>
            <w:r w:rsidRPr="00E325A4" w:rsidR="00BA753D">
              <w:rPr>
                <w:w w:val="100"/>
                <w:szCs w:val="22"/>
              </w:rPr>
              <w:t xml:space="preserve">Die </w:t>
            </w:r>
            <w:r w:rsidRPr="00E325A4" w:rsidR="00A31DDA">
              <w:rPr>
                <w:w w:val="100"/>
                <w:szCs w:val="22"/>
              </w:rPr>
              <w:t>Investoren befinden sich meist in der ersten Erlösstufe und erhalten vorrangig eine bestimmte Erlössumme. Nur wenn er Liquidationserlös ausreicht, erhalten auch die weiteren Gesellschafter</w:t>
            </w:r>
            <w:r w:rsidRPr="00E325A4" w:rsidR="00BA753D">
              <w:rPr>
                <w:w w:val="100"/>
                <w:szCs w:val="22"/>
              </w:rPr>
              <w:t xml:space="preserve"> in der zweiten Erlösstufe entsprechend ihrer Beteiligungsquote am Unternehmen</w:t>
            </w:r>
            <w:r w:rsidRPr="00E325A4" w:rsidR="00A31DDA">
              <w:rPr>
                <w:w w:val="100"/>
                <w:szCs w:val="22"/>
              </w:rPr>
              <w:t xml:space="preserve"> einen Anteil des Liquidationserlöses. </w:t>
            </w:r>
          </w:p>
          <w:p w:rsidR="005932C3" w:rsidRPr="00E325A4" w:rsidP="00255FE6" w14:paraId="1F048C48" w14:textId="77777777">
            <w:pPr>
              <w:jc w:val="left"/>
              <w:rPr>
                <w:w w:val="100"/>
                <w:szCs w:val="22"/>
              </w:rPr>
            </w:pPr>
          </w:p>
          <w:p w:rsidR="00255FE6" w:rsidP="00E92492" w14:paraId="0C866C71" w14:textId="77777777">
            <w:pPr>
              <w:jc w:val="left"/>
              <w:rPr>
                <w:w w:val="100"/>
                <w:szCs w:val="22"/>
              </w:rPr>
            </w:pPr>
            <w:r w:rsidRPr="00E325A4">
              <w:rPr>
                <w:w w:val="100"/>
                <w:szCs w:val="22"/>
              </w:rPr>
              <w:t xml:space="preserve">Sollten sonstige schuldrechtliche Erlösbeteiligungen bestehen, sind diese auch im Rahmen der </w:t>
            </w:r>
            <w:r w:rsidRPr="005E1A4C">
              <w:rPr>
                <w:w w:val="100"/>
                <w:szCs w:val="22"/>
              </w:rPr>
              <w:t>Liquidationspräferenz festzuhalten.</w:t>
            </w:r>
          </w:p>
          <w:p w:rsidR="005E1A4C" w:rsidRPr="00E325A4" w:rsidP="00E92492" w14:paraId="1BFAED11" w14:textId="77777777">
            <w:pPr>
              <w:jc w:val="left"/>
              <w:rPr>
                <w:w w:val="100"/>
                <w:szCs w:val="22"/>
              </w:rPr>
            </w:pPr>
          </w:p>
        </w:tc>
      </w:tr>
      <w:tr w14:paraId="7C5B18D2" w14:textId="77777777" w:rsidTr="00E325A4">
        <w:tblPrEx>
          <w:tblW w:w="14596" w:type="dxa"/>
          <w:tblLook w:val="04A0"/>
        </w:tblPrEx>
        <w:trPr>
          <w:cantSplit/>
        </w:trPr>
        <w:tc>
          <w:tcPr>
            <w:tcW w:w="3500" w:type="dxa"/>
          </w:tcPr>
          <w:p w:rsidR="005C2201" w:rsidRPr="00E325A4" w:rsidP="000973D4" w14:paraId="3F2C2EA9" w14:textId="77777777">
            <w:pPr>
              <w:jc w:val="left"/>
              <w:rPr>
                <w:b/>
                <w:w w:val="100"/>
                <w:szCs w:val="22"/>
              </w:rPr>
            </w:pPr>
            <w:r w:rsidRPr="00E325A4">
              <w:rPr>
                <w:b/>
                <w:w w:val="100"/>
                <w:szCs w:val="22"/>
              </w:rPr>
              <w:t>Bezugsrechte</w:t>
            </w:r>
          </w:p>
          <w:p w:rsidR="00255FE6" w:rsidRPr="00E325A4" w:rsidP="000973D4" w14:paraId="1D06D393" w14:textId="77777777">
            <w:pPr>
              <w:jc w:val="left"/>
              <w:rPr>
                <w:b/>
                <w:w w:val="100"/>
                <w:szCs w:val="22"/>
                <w:highlight w:val="yellow"/>
              </w:rPr>
            </w:pPr>
            <w:r w:rsidRPr="00E325A4">
              <w:rPr>
                <w:b/>
                <w:w w:val="100"/>
                <w:szCs w:val="22"/>
              </w:rPr>
              <w:t>(Pre-emption Rights)</w:t>
            </w:r>
          </w:p>
        </w:tc>
        <w:tc>
          <w:tcPr>
            <w:tcW w:w="5112" w:type="dxa"/>
          </w:tcPr>
          <w:p w:rsidR="00F23978" w:rsidRPr="00E325A4" w:rsidP="00F23978" w14:paraId="29EF8180" w14:textId="77777777">
            <w:pPr>
              <w:jc w:val="left"/>
              <w:rPr>
                <w:w w:val="100"/>
                <w:szCs w:val="22"/>
              </w:rPr>
            </w:pPr>
            <w:r w:rsidRPr="00E325A4">
              <w:rPr>
                <w:w w:val="100"/>
                <w:szCs w:val="22"/>
              </w:rPr>
              <w:t>Im Falle der Insolvenz, des Todes oder der Scheidung eines Gesellschafters, eines Kontrollwechsels bei einem Gesellschafter oder einer Straftat gegen die Gesellschaft durch einen Gesellschafter haben alle anderen Gesellschafter ein anteiliges Vorkaufsrecht in Bezug auf die Anteile des Gesellschafters.</w:t>
            </w:r>
          </w:p>
          <w:p w:rsidR="005C2201" w:rsidRPr="00E325A4" w:rsidP="00F23978" w14:paraId="6447CFD5" w14:textId="77777777">
            <w:pPr>
              <w:jc w:val="left"/>
              <w:rPr>
                <w:w w:val="100"/>
                <w:szCs w:val="22"/>
              </w:rPr>
            </w:pPr>
          </w:p>
        </w:tc>
        <w:tc>
          <w:tcPr>
            <w:tcW w:w="5984" w:type="dxa"/>
          </w:tcPr>
          <w:p w:rsidR="00693AC2" w:rsidRPr="00E325A4" w:rsidP="0000484B" w14:paraId="31FD1165" w14:textId="77777777">
            <w:pPr>
              <w:jc w:val="left"/>
              <w:rPr>
                <w:w w:val="100"/>
                <w:szCs w:val="22"/>
              </w:rPr>
            </w:pPr>
            <w:r w:rsidRPr="00E325A4">
              <w:rPr>
                <w:w w:val="100"/>
                <w:szCs w:val="22"/>
              </w:rPr>
              <w:t xml:space="preserve">Das Vorkaufsrecht ermöglicht den anderen Gesellschaftern den vom Vorkaufsfall betroffenen Gesellschafter die Abtretung von Gesellschafteranteile gegen Zahlung eines bestimmten Abtretungspreises zu verlangen. </w:t>
            </w:r>
          </w:p>
          <w:p w:rsidR="00693AC2" w:rsidRPr="00E325A4" w:rsidP="0000484B" w14:paraId="54912290" w14:textId="77777777">
            <w:pPr>
              <w:jc w:val="left"/>
              <w:rPr>
                <w:w w:val="100"/>
                <w:szCs w:val="22"/>
              </w:rPr>
            </w:pPr>
          </w:p>
          <w:p w:rsidR="0000484B" w:rsidRPr="00E325A4" w:rsidP="00693AC2" w14:paraId="5EE7C41B" w14:textId="77777777">
            <w:pPr>
              <w:jc w:val="left"/>
              <w:rPr>
                <w:w w:val="100"/>
                <w:szCs w:val="22"/>
              </w:rPr>
            </w:pPr>
            <w:r w:rsidRPr="00E325A4">
              <w:rPr>
                <w:w w:val="100"/>
                <w:szCs w:val="22"/>
              </w:rPr>
              <w:t>Der Abtretungspreis entspricht grundsätzlich dem Verkehrswert des Geschäftsanteils.</w:t>
            </w:r>
          </w:p>
        </w:tc>
      </w:tr>
      <w:tr w14:paraId="74C6D633" w14:textId="77777777" w:rsidTr="00E325A4">
        <w:tblPrEx>
          <w:tblW w:w="14596" w:type="dxa"/>
          <w:tblLook w:val="04A0"/>
        </w:tblPrEx>
        <w:trPr>
          <w:cantSplit/>
        </w:trPr>
        <w:tc>
          <w:tcPr>
            <w:tcW w:w="3500" w:type="dxa"/>
          </w:tcPr>
          <w:p w:rsidR="00A54C88" w:rsidRPr="00E325A4" w:rsidP="00A54C88" w14:paraId="4DD42866" w14:textId="77777777">
            <w:pPr>
              <w:jc w:val="left"/>
              <w:rPr>
                <w:b/>
                <w:w w:val="100"/>
                <w:szCs w:val="22"/>
              </w:rPr>
            </w:pPr>
            <w:r w:rsidRPr="00E325A4">
              <w:rPr>
                <w:b/>
                <w:w w:val="100"/>
                <w:szCs w:val="22"/>
              </w:rPr>
              <w:t xml:space="preserve">Mitverkaufsrecht </w:t>
            </w:r>
          </w:p>
          <w:p w:rsidR="00393296" w:rsidRPr="00E325A4" w:rsidP="00A54C88" w14:paraId="5F1EB17C" w14:textId="77777777">
            <w:pPr>
              <w:jc w:val="left"/>
              <w:rPr>
                <w:b/>
                <w:w w:val="100"/>
                <w:szCs w:val="22"/>
              </w:rPr>
            </w:pPr>
            <w:r w:rsidRPr="00E325A4">
              <w:rPr>
                <w:b/>
                <w:w w:val="100"/>
                <w:szCs w:val="22"/>
              </w:rPr>
              <w:t>(Tag Along</w:t>
            </w:r>
            <w:r w:rsidRPr="00E325A4" w:rsidR="005C2201">
              <w:rPr>
                <w:b/>
                <w:w w:val="100"/>
                <w:szCs w:val="22"/>
              </w:rPr>
              <w:t>)</w:t>
            </w:r>
          </w:p>
        </w:tc>
        <w:tc>
          <w:tcPr>
            <w:tcW w:w="5112" w:type="dxa"/>
          </w:tcPr>
          <w:p w:rsidR="00393296" w:rsidRPr="00E325A4" w:rsidP="00393296" w14:paraId="378BD97C" w14:textId="77777777">
            <w:pPr>
              <w:jc w:val="left"/>
              <w:rPr>
                <w:w w:val="100"/>
                <w:szCs w:val="22"/>
              </w:rPr>
            </w:pPr>
            <w:r w:rsidRPr="00E325A4">
              <w:rPr>
                <w:w w:val="100"/>
                <w:szCs w:val="22"/>
              </w:rPr>
              <w:t>Wenn ein Inhaber von Unternehmensanteilen beabsichtigt seine Anteile zu veräußern, können die übrigen Gesellschafter darauf bestehen, dass ihre Unternehmensanteile zu denselben Konditionen veräußert werden.</w:t>
            </w:r>
          </w:p>
          <w:p w:rsidR="005C2201" w:rsidRPr="00E325A4" w:rsidP="00393296" w14:paraId="0B23320E" w14:textId="77777777">
            <w:pPr>
              <w:jc w:val="left"/>
              <w:rPr>
                <w:w w:val="100"/>
                <w:szCs w:val="22"/>
              </w:rPr>
            </w:pPr>
          </w:p>
        </w:tc>
        <w:tc>
          <w:tcPr>
            <w:tcW w:w="5984" w:type="dxa"/>
          </w:tcPr>
          <w:p w:rsidR="00402027" w:rsidRPr="00E325A4" w:rsidP="00393296" w14:paraId="60440BEA" w14:textId="77777777">
            <w:pPr>
              <w:jc w:val="left"/>
              <w:rPr>
                <w:w w:val="100"/>
                <w:szCs w:val="22"/>
              </w:rPr>
            </w:pPr>
            <w:r w:rsidRPr="00E325A4">
              <w:rPr>
                <w:w w:val="100"/>
                <w:szCs w:val="22"/>
              </w:rPr>
              <w:t xml:space="preserve">Das Mitverkaufsrecht sichert den Gesellschaftern das Recht, die eigenen Anteile mitzuverkaufen, wenn ein anderer Gesellschafter seine Anteile ganz oder teilweise an einen Dritten verkauft. </w:t>
            </w:r>
          </w:p>
          <w:p w:rsidR="00A54C88" w:rsidRPr="00E325A4" w:rsidP="00393296" w14:paraId="2D89FF21" w14:textId="77777777">
            <w:pPr>
              <w:jc w:val="left"/>
              <w:rPr>
                <w:w w:val="100"/>
                <w:szCs w:val="22"/>
              </w:rPr>
            </w:pPr>
          </w:p>
          <w:p w:rsidR="00393296" w:rsidRPr="00E325A4" w:rsidP="00393296" w14:paraId="220D56C7" w14:textId="77777777">
            <w:pPr>
              <w:jc w:val="left"/>
              <w:rPr>
                <w:w w:val="100"/>
                <w:szCs w:val="22"/>
              </w:rPr>
            </w:pPr>
          </w:p>
        </w:tc>
      </w:tr>
      <w:tr w14:paraId="0995DC7C" w14:textId="77777777" w:rsidTr="00E325A4">
        <w:tblPrEx>
          <w:tblW w:w="14596" w:type="dxa"/>
          <w:tblLook w:val="04A0"/>
        </w:tblPrEx>
        <w:trPr>
          <w:cantSplit/>
        </w:trPr>
        <w:tc>
          <w:tcPr>
            <w:tcW w:w="3500" w:type="dxa"/>
          </w:tcPr>
          <w:p w:rsidR="005C2201" w:rsidRPr="00E325A4" w:rsidP="00A54C88" w14:paraId="0B144E6D" w14:textId="77777777">
            <w:pPr>
              <w:jc w:val="left"/>
              <w:rPr>
                <w:b/>
                <w:w w:val="100"/>
                <w:szCs w:val="22"/>
              </w:rPr>
            </w:pPr>
            <w:r w:rsidRPr="00E325A4">
              <w:rPr>
                <w:b/>
                <w:w w:val="100"/>
                <w:szCs w:val="22"/>
              </w:rPr>
              <w:t>Mitverkaufspflicht</w:t>
            </w:r>
          </w:p>
          <w:p w:rsidR="00393296" w:rsidRPr="00E325A4" w:rsidP="00A54C88" w14:paraId="251174A8" w14:textId="77777777">
            <w:pPr>
              <w:jc w:val="left"/>
              <w:rPr>
                <w:b/>
                <w:w w:val="100"/>
                <w:szCs w:val="22"/>
              </w:rPr>
            </w:pPr>
            <w:r w:rsidRPr="00E325A4">
              <w:rPr>
                <w:b/>
                <w:w w:val="100"/>
                <w:szCs w:val="22"/>
              </w:rPr>
              <w:t>(Drag A</w:t>
            </w:r>
            <w:r w:rsidRPr="00E325A4" w:rsidR="005C2201">
              <w:rPr>
                <w:b/>
                <w:w w:val="100"/>
                <w:szCs w:val="22"/>
              </w:rPr>
              <w:t>long)</w:t>
            </w:r>
          </w:p>
        </w:tc>
        <w:tc>
          <w:tcPr>
            <w:tcW w:w="5112" w:type="dxa"/>
          </w:tcPr>
          <w:p w:rsidR="00393296" w:rsidRPr="00E325A4" w:rsidP="006F4779" w14:paraId="29B50854" w14:textId="77777777">
            <w:pPr>
              <w:jc w:val="left"/>
              <w:rPr>
                <w:w w:val="100"/>
                <w:szCs w:val="22"/>
              </w:rPr>
            </w:pPr>
            <w:r w:rsidRPr="00E325A4">
              <w:rPr>
                <w:w w:val="100"/>
                <w:szCs w:val="22"/>
              </w:rPr>
              <w:t xml:space="preserve">Wenn ein Inhaber von Unternehmensanteilen beabsichtigt seine Anteile zu veräußern, sind die übrigen Gesellschafter verpflichtet, auf dessen Verlangen zu denselben Konditionen zu verkaufen, wenn dies in der Gesellschafterversammlung (inkl. Beiratszustimmung) festgelegt worden ist. Eine Erteilung der Zustimmung ist nur dann möglich, wenn der Veräußerungswert des Unternehmens mind. </w:t>
            </w:r>
            <w:r w:rsidRPr="00E325A4" w:rsidR="00E87573">
              <w:rPr>
                <w:w w:val="100"/>
                <w:szCs w:val="22"/>
              </w:rPr>
              <w:t>12 Mio.</w:t>
            </w:r>
            <w:r w:rsidRPr="00E325A4">
              <w:rPr>
                <w:w w:val="100"/>
                <w:szCs w:val="22"/>
              </w:rPr>
              <w:t xml:space="preserve"> Euro beträgt.</w:t>
            </w:r>
          </w:p>
          <w:p w:rsidR="005C2201" w:rsidRPr="00E325A4" w:rsidP="006F4779" w14:paraId="210D5A4E" w14:textId="77777777">
            <w:pPr>
              <w:jc w:val="left"/>
              <w:rPr>
                <w:w w:val="100"/>
                <w:szCs w:val="22"/>
              </w:rPr>
            </w:pPr>
          </w:p>
        </w:tc>
        <w:tc>
          <w:tcPr>
            <w:tcW w:w="5984" w:type="dxa"/>
          </w:tcPr>
          <w:p w:rsidR="00393296" w:rsidRPr="00E325A4" w:rsidP="006F4779" w14:paraId="184E295F" w14:textId="77777777">
            <w:pPr>
              <w:jc w:val="left"/>
              <w:rPr>
                <w:w w:val="100"/>
                <w:szCs w:val="22"/>
              </w:rPr>
            </w:pPr>
            <w:r w:rsidRPr="00E325A4">
              <w:rPr>
                <w:w w:val="100"/>
                <w:szCs w:val="22"/>
              </w:rPr>
              <w:t>Die Mitverkaufspflicht sieht vor, dass alle Gesellschafter unter bestimmten vorab festgelegten Umständen verpflichtet sind, ihre Unternehmensanteile zu denselben Konditionen zu veräußern,</w:t>
            </w:r>
            <w:r w:rsidRPr="00E325A4" w:rsidR="00DD2F58">
              <w:rPr>
                <w:w w:val="100"/>
                <w:szCs w:val="22"/>
              </w:rPr>
              <w:t xml:space="preserve"> wenn einer der anderen Gesellschafter seine Anteile verkaufen möchte. Die Pflicht zum Mitverkauf von Unternehmensanteilen sollte nicht einem </w:t>
            </w:r>
            <w:r w:rsidRPr="00E325A4" w:rsidR="00445142">
              <w:rPr>
                <w:w w:val="100"/>
                <w:szCs w:val="22"/>
              </w:rPr>
              <w:t>einzigen</w:t>
            </w:r>
            <w:r w:rsidRPr="00E325A4" w:rsidR="00DD2F58">
              <w:rPr>
                <w:w w:val="100"/>
                <w:szCs w:val="22"/>
              </w:rPr>
              <w:t xml:space="preserve"> Investor, der eine Minderheitsbeteiligung besitzt, eingeräumt werden. Die Ausübung der Mitverkaufspflicht sollte nur dann möglich sein, wenn ein vorab definierter Unternehmenswert besteht.</w:t>
            </w:r>
          </w:p>
        </w:tc>
      </w:tr>
      <w:tr w14:paraId="35944579" w14:textId="77777777" w:rsidTr="00E325A4">
        <w:tblPrEx>
          <w:tblW w:w="14596" w:type="dxa"/>
          <w:tblLook w:val="04A0"/>
        </w:tblPrEx>
        <w:trPr>
          <w:cantSplit/>
        </w:trPr>
        <w:tc>
          <w:tcPr>
            <w:tcW w:w="3500" w:type="dxa"/>
          </w:tcPr>
          <w:p w:rsidR="00AC5446" w:rsidRPr="00E325A4" w:rsidP="00393296" w14:paraId="553832A6" w14:textId="77777777">
            <w:pPr>
              <w:jc w:val="left"/>
              <w:rPr>
                <w:b/>
                <w:w w:val="100"/>
                <w:szCs w:val="22"/>
              </w:rPr>
            </w:pPr>
            <w:r w:rsidRPr="00E325A4">
              <w:rPr>
                <w:b/>
                <w:w w:val="100"/>
                <w:szCs w:val="22"/>
                <w:lang w:val="en-GB"/>
              </w:rPr>
              <w:t>Founder Lock-Up</w:t>
            </w:r>
          </w:p>
        </w:tc>
        <w:tc>
          <w:tcPr>
            <w:tcW w:w="5112" w:type="dxa"/>
          </w:tcPr>
          <w:p w:rsidR="00AC5446" w:rsidRPr="00E325A4" w:rsidP="00BD16D8" w14:paraId="67FBED95" w14:textId="77777777">
            <w:pPr>
              <w:jc w:val="left"/>
              <w:rPr>
                <w:w w:val="100"/>
                <w:szCs w:val="22"/>
              </w:rPr>
            </w:pPr>
            <w:r w:rsidRPr="00E325A4">
              <w:rPr>
                <w:w w:val="100"/>
                <w:szCs w:val="22"/>
              </w:rPr>
              <w:t xml:space="preserve">Um die Unternehmensentwicklung sicherzustellen, ist eine </w:t>
            </w:r>
            <w:r w:rsidRPr="00E325A4" w:rsidR="00B04B28">
              <w:rPr>
                <w:w w:val="100"/>
                <w:szCs w:val="22"/>
              </w:rPr>
              <w:t>Veräußerung</w:t>
            </w:r>
            <w:r w:rsidRPr="00E325A4">
              <w:rPr>
                <w:w w:val="100"/>
                <w:szCs w:val="22"/>
              </w:rPr>
              <w:t xml:space="preserve"> </w:t>
            </w:r>
            <w:r w:rsidRPr="00E325A4" w:rsidR="00B04B28">
              <w:rPr>
                <w:w w:val="100"/>
                <w:szCs w:val="22"/>
              </w:rPr>
              <w:t>der</w:t>
            </w:r>
            <w:r w:rsidRPr="00E325A4">
              <w:rPr>
                <w:w w:val="100"/>
                <w:szCs w:val="22"/>
              </w:rPr>
              <w:t xml:space="preserve"> </w:t>
            </w:r>
            <w:r w:rsidRPr="00E325A4" w:rsidR="00B04B28">
              <w:rPr>
                <w:w w:val="100"/>
                <w:szCs w:val="22"/>
              </w:rPr>
              <w:t xml:space="preserve">eigenen </w:t>
            </w:r>
            <w:r w:rsidRPr="00E325A4">
              <w:rPr>
                <w:w w:val="100"/>
                <w:szCs w:val="22"/>
              </w:rPr>
              <w:t>Unternehmensanteile</w:t>
            </w:r>
            <w:r w:rsidRPr="00E325A4" w:rsidR="00B04B28">
              <w:rPr>
                <w:w w:val="100"/>
                <w:szCs w:val="22"/>
              </w:rPr>
              <w:t xml:space="preserve"> bis zum </w:t>
            </w:r>
            <w:r w:rsidRPr="00E325A4" w:rsidR="006224BE">
              <w:rPr>
                <w:w w:val="100"/>
                <w:szCs w:val="22"/>
              </w:rPr>
              <w:t>31.12.20</w:t>
            </w:r>
            <w:r w:rsidRPr="00E325A4" w:rsidR="00BD16D8">
              <w:rPr>
                <w:w w:val="100"/>
                <w:szCs w:val="22"/>
              </w:rPr>
              <w:t xml:space="preserve">XX </w:t>
            </w:r>
            <w:r w:rsidRPr="00E325A4">
              <w:rPr>
                <w:w w:val="100"/>
                <w:szCs w:val="22"/>
              </w:rPr>
              <w:t>ohne da</w:t>
            </w:r>
            <w:r w:rsidRPr="00E325A4" w:rsidR="006224BE">
              <w:rPr>
                <w:w w:val="100"/>
                <w:szCs w:val="22"/>
              </w:rPr>
              <w:t>ss sämtliche Gesellschafter und</w:t>
            </w:r>
            <w:r w:rsidRPr="00E325A4">
              <w:rPr>
                <w:w w:val="100"/>
                <w:szCs w:val="22"/>
              </w:rPr>
              <w:t xml:space="preserve"> Investoren zugestimmt haben, nicht gestattet. </w:t>
            </w:r>
          </w:p>
        </w:tc>
        <w:tc>
          <w:tcPr>
            <w:tcW w:w="5984" w:type="dxa"/>
          </w:tcPr>
          <w:p w:rsidR="006B06CF" w:rsidRPr="00E325A4" w:rsidP="00393296" w14:paraId="46D660D1" w14:textId="77777777">
            <w:pPr>
              <w:jc w:val="left"/>
              <w:rPr>
                <w:w w:val="100"/>
                <w:szCs w:val="22"/>
              </w:rPr>
            </w:pPr>
            <w:r w:rsidRPr="00E325A4">
              <w:rPr>
                <w:w w:val="100"/>
                <w:szCs w:val="22"/>
              </w:rPr>
              <w:t>Den Unternehmensgründern ist es nicht gestattet, ihre Unternehmensanteile bis zu einem bestimmten Datum an Dritte zu veräußern.</w:t>
            </w:r>
          </w:p>
          <w:p w:rsidR="006B06CF" w:rsidRPr="00E325A4" w:rsidP="00393296" w14:paraId="294D1D26" w14:textId="77777777">
            <w:pPr>
              <w:jc w:val="left"/>
              <w:rPr>
                <w:w w:val="100"/>
                <w:szCs w:val="22"/>
              </w:rPr>
            </w:pPr>
          </w:p>
          <w:p w:rsidR="006B06CF" w:rsidRPr="00E325A4" w:rsidP="00393296" w14:paraId="0E6411E0" w14:textId="77777777">
            <w:pPr>
              <w:jc w:val="left"/>
              <w:rPr>
                <w:w w:val="100"/>
                <w:szCs w:val="22"/>
              </w:rPr>
            </w:pPr>
          </w:p>
          <w:p w:rsidR="00AC5446" w:rsidRPr="00E325A4" w:rsidP="00393296" w14:paraId="300E7466" w14:textId="77777777">
            <w:pPr>
              <w:jc w:val="left"/>
              <w:rPr>
                <w:w w:val="100"/>
                <w:szCs w:val="22"/>
              </w:rPr>
            </w:pPr>
          </w:p>
        </w:tc>
      </w:tr>
      <w:tr w14:paraId="3A9AA7BF" w14:textId="77777777" w:rsidTr="00E325A4">
        <w:tblPrEx>
          <w:tblW w:w="14596" w:type="dxa"/>
          <w:tblLook w:val="04A0"/>
        </w:tblPrEx>
        <w:trPr>
          <w:cantSplit/>
        </w:trPr>
        <w:tc>
          <w:tcPr>
            <w:tcW w:w="3500" w:type="dxa"/>
          </w:tcPr>
          <w:p w:rsidR="00AC5446" w:rsidRPr="00E325A4" w:rsidP="00393296" w14:paraId="1439F353" w14:textId="77777777">
            <w:pPr>
              <w:jc w:val="left"/>
              <w:rPr>
                <w:b/>
                <w:color w:val="000000" w:themeColor="text1"/>
                <w:w w:val="100"/>
                <w:szCs w:val="22"/>
              </w:rPr>
            </w:pPr>
            <w:r w:rsidRPr="00E325A4">
              <w:rPr>
                <w:b/>
                <w:color w:val="000000" w:themeColor="text1"/>
                <w:w w:val="100"/>
                <w:szCs w:val="22"/>
              </w:rPr>
              <w:t>Beirat</w:t>
            </w:r>
          </w:p>
        </w:tc>
        <w:tc>
          <w:tcPr>
            <w:tcW w:w="5112" w:type="dxa"/>
          </w:tcPr>
          <w:p w:rsidR="00EC486B" w:rsidRPr="00E325A4" w:rsidP="007A631D" w14:paraId="0E386BC1" w14:textId="77777777">
            <w:pPr>
              <w:jc w:val="left"/>
              <w:rPr>
                <w:w w:val="100"/>
                <w:szCs w:val="22"/>
              </w:rPr>
            </w:pPr>
            <w:r w:rsidRPr="00E325A4">
              <w:rPr>
                <w:w w:val="100"/>
                <w:szCs w:val="22"/>
              </w:rPr>
              <w:t xml:space="preserve">Das Unternehmen plant einen Beirat einzusetzen, der mindestens </w:t>
            </w:r>
            <w:r w:rsidRPr="00E325A4" w:rsidR="003250D9">
              <w:rPr>
                <w:w w:val="100"/>
                <w:szCs w:val="22"/>
              </w:rPr>
              <w:t xml:space="preserve">3 </w:t>
            </w:r>
            <w:r w:rsidRPr="00E325A4">
              <w:rPr>
                <w:w w:val="100"/>
                <w:szCs w:val="22"/>
              </w:rPr>
              <w:t>Mitglieder umfasst.</w:t>
            </w:r>
          </w:p>
          <w:p w:rsidR="00D36FC9" w:rsidRPr="00E325A4" w:rsidP="007A631D" w14:paraId="258A9239" w14:textId="77777777">
            <w:pPr>
              <w:jc w:val="left"/>
              <w:rPr>
                <w:w w:val="100"/>
                <w:szCs w:val="22"/>
              </w:rPr>
            </w:pPr>
          </w:p>
          <w:p w:rsidR="00D36FC9" w:rsidRPr="00E325A4" w:rsidP="007A631D" w14:paraId="501856A5" w14:textId="77777777">
            <w:pPr>
              <w:jc w:val="left"/>
              <w:rPr>
                <w:w w:val="100"/>
                <w:szCs w:val="22"/>
              </w:rPr>
            </w:pPr>
            <w:r w:rsidRPr="00E325A4">
              <w:rPr>
                <w:w w:val="100"/>
                <w:szCs w:val="22"/>
              </w:rPr>
              <w:t>Gustav Geld – Investor</w:t>
            </w:r>
          </w:p>
          <w:p w:rsidR="00D36FC9" w:rsidRPr="00E325A4" w:rsidP="007A631D" w14:paraId="50C0CBC9" w14:textId="77777777">
            <w:pPr>
              <w:jc w:val="left"/>
              <w:rPr>
                <w:w w:val="100"/>
                <w:szCs w:val="22"/>
              </w:rPr>
            </w:pPr>
            <w:r w:rsidRPr="00E325A4">
              <w:rPr>
                <w:w w:val="100"/>
                <w:szCs w:val="22"/>
              </w:rPr>
              <w:t>Franz Engagiert – Leiter Personalabteilung</w:t>
            </w:r>
          </w:p>
          <w:p w:rsidR="003250D9" w:rsidRPr="00E325A4" w:rsidP="007A631D" w14:paraId="0F56C1AD" w14:textId="77777777">
            <w:pPr>
              <w:jc w:val="left"/>
              <w:rPr>
                <w:w w:val="100"/>
                <w:szCs w:val="22"/>
              </w:rPr>
            </w:pPr>
            <w:r w:rsidRPr="00E325A4">
              <w:rPr>
                <w:w w:val="100"/>
                <w:szCs w:val="22"/>
              </w:rPr>
              <w:t>Marlene Geistreich – Leiterin F&amp;E</w:t>
            </w:r>
          </w:p>
          <w:p w:rsidR="002400B0" w:rsidRPr="00E325A4" w:rsidP="007A631D" w14:paraId="0E50D3A8" w14:textId="77777777">
            <w:pPr>
              <w:jc w:val="left"/>
              <w:rPr>
                <w:w w:val="100"/>
                <w:szCs w:val="22"/>
              </w:rPr>
            </w:pPr>
          </w:p>
          <w:p w:rsidR="002400B0" w:rsidRPr="00E325A4" w:rsidP="007A631D" w14:paraId="4DD48449" w14:textId="77777777">
            <w:pPr>
              <w:jc w:val="left"/>
              <w:rPr>
                <w:w w:val="100"/>
                <w:szCs w:val="22"/>
              </w:rPr>
            </w:pPr>
            <w:r w:rsidRPr="00E325A4">
              <w:rPr>
                <w:w w:val="100"/>
                <w:szCs w:val="22"/>
              </w:rPr>
              <w:t>Der Beirat ist für die nachfolgend angeführten Aufgaben zuständig:</w:t>
            </w:r>
          </w:p>
          <w:p w:rsidR="00A12737" w:rsidRPr="00E325A4" w:rsidP="007A631D" w14:paraId="6CE3BD75" w14:textId="77777777">
            <w:pPr>
              <w:jc w:val="left"/>
              <w:rPr>
                <w:w w:val="100"/>
                <w:szCs w:val="22"/>
              </w:rPr>
            </w:pPr>
          </w:p>
          <w:p w:rsidR="002400B0" w:rsidRPr="00E325A4" w:rsidP="002400B0" w14:paraId="77E822A4" w14:textId="77777777">
            <w:pPr>
              <w:pStyle w:val="ListParagraph"/>
              <w:numPr>
                <w:ilvl w:val="0"/>
                <w:numId w:val="18"/>
              </w:numPr>
              <w:jc w:val="left"/>
              <w:rPr>
                <w:w w:val="100"/>
                <w:szCs w:val="22"/>
              </w:rPr>
            </w:pPr>
            <w:r w:rsidRPr="00E325A4">
              <w:rPr>
                <w:w w:val="100"/>
                <w:szCs w:val="22"/>
              </w:rPr>
              <w:t>Schlichtung und Vermittlung zwischen den Gesellschaftern</w:t>
            </w:r>
          </w:p>
          <w:p w:rsidR="005C2201" w:rsidP="00E325A4" w14:paraId="1F85F893" w14:textId="77777777">
            <w:pPr>
              <w:pStyle w:val="ListParagraph"/>
              <w:numPr>
                <w:ilvl w:val="0"/>
                <w:numId w:val="18"/>
              </w:numPr>
              <w:jc w:val="left"/>
              <w:rPr>
                <w:w w:val="100"/>
                <w:szCs w:val="22"/>
              </w:rPr>
            </w:pPr>
            <w:r w:rsidRPr="00E325A4">
              <w:rPr>
                <w:w w:val="100"/>
                <w:szCs w:val="22"/>
              </w:rPr>
              <w:t xml:space="preserve">Beratung und Unterstützung der </w:t>
            </w:r>
            <w:r w:rsidRPr="005E1A4C">
              <w:rPr>
                <w:w w:val="100"/>
                <w:szCs w:val="22"/>
              </w:rPr>
              <w:t>Geschäftsführung</w:t>
            </w:r>
          </w:p>
          <w:p w:rsidR="005E1A4C" w:rsidRPr="00E325A4" w:rsidP="005E1A4C" w14:paraId="719DD0C7" w14:textId="77777777">
            <w:pPr>
              <w:pStyle w:val="ListParagraph"/>
              <w:jc w:val="left"/>
              <w:rPr>
                <w:w w:val="100"/>
                <w:szCs w:val="22"/>
              </w:rPr>
            </w:pPr>
          </w:p>
        </w:tc>
        <w:tc>
          <w:tcPr>
            <w:tcW w:w="5984" w:type="dxa"/>
          </w:tcPr>
          <w:p w:rsidR="00AC5446" w:rsidRPr="00E325A4" w:rsidP="00E463F7" w14:paraId="4E5F5708" w14:textId="77777777">
            <w:pPr>
              <w:jc w:val="left"/>
              <w:rPr>
                <w:w w:val="100"/>
                <w:szCs w:val="22"/>
              </w:rPr>
            </w:pPr>
            <w:r w:rsidRPr="00E325A4">
              <w:rPr>
                <w:w w:val="100"/>
                <w:szCs w:val="22"/>
              </w:rPr>
              <w:t>Ein Beirat kann seitens der Unternehmenseigentümer eingerichtet werden. Im Zuge der Beiratserrichtung ist nicht nur festzulegen, welche Funktion dieser erfüllt (zB rein beratende Funktion) und welche Zuständigkeiten damit verbunden sind, sondern auch die genaue Struktur des Beirats und die Anzahl der Beiratsmitglieder</w:t>
            </w:r>
            <w:r w:rsidRPr="00E325A4" w:rsidR="00EC486B">
              <w:rPr>
                <w:w w:val="100"/>
                <w:szCs w:val="22"/>
              </w:rPr>
              <w:t xml:space="preserve">. Es empfiehlt sich, dass neben den Investoren auch die Unternehmensgründer einen Vertreter in den Beirat entsenden sowie dass der Beirat </w:t>
            </w:r>
            <w:r w:rsidRPr="00E325A4">
              <w:rPr>
                <w:w w:val="100"/>
                <w:szCs w:val="22"/>
              </w:rPr>
              <w:t xml:space="preserve">von einem unabhängigen Vorsitzenden geleitet wird. Zu beachten ist, dass Geschäftsführer nicht auch gleichzeitig Beiratsmitglied sein können. </w:t>
            </w:r>
          </w:p>
        </w:tc>
      </w:tr>
      <w:tr w14:paraId="62F613EA" w14:textId="77777777" w:rsidTr="00E325A4">
        <w:tblPrEx>
          <w:tblW w:w="14596" w:type="dxa"/>
          <w:tblLook w:val="04A0"/>
        </w:tblPrEx>
        <w:trPr>
          <w:cantSplit/>
        </w:trPr>
        <w:tc>
          <w:tcPr>
            <w:tcW w:w="3500" w:type="dxa"/>
          </w:tcPr>
          <w:p w:rsidR="007A631D" w:rsidRPr="00E325A4" w:rsidP="00393296" w14:paraId="5A221C0F" w14:textId="77777777">
            <w:pPr>
              <w:jc w:val="left"/>
              <w:rPr>
                <w:b/>
                <w:w w:val="100"/>
                <w:szCs w:val="22"/>
                <w:lang w:val="en-GB"/>
              </w:rPr>
            </w:pPr>
            <w:r w:rsidRPr="00E325A4">
              <w:rPr>
                <w:b/>
                <w:w w:val="100"/>
                <w:szCs w:val="22"/>
                <w:lang w:val="en-GB"/>
              </w:rPr>
              <w:t>Zustimmungsrechte</w:t>
            </w:r>
          </w:p>
          <w:p w:rsidR="00D02B6E" w:rsidRPr="00E325A4" w:rsidP="00393296" w14:paraId="699B44D6" w14:textId="77777777">
            <w:pPr>
              <w:jc w:val="left"/>
              <w:rPr>
                <w:b/>
                <w:w w:val="100"/>
                <w:szCs w:val="22"/>
                <w:lang w:val="en-GB"/>
              </w:rPr>
            </w:pPr>
            <w:r w:rsidRPr="00E325A4">
              <w:rPr>
                <w:b/>
                <w:w w:val="100"/>
                <w:szCs w:val="22"/>
                <w:lang w:val="en-GB"/>
              </w:rPr>
              <w:t>(Consent Rights)</w:t>
            </w:r>
          </w:p>
        </w:tc>
        <w:tc>
          <w:tcPr>
            <w:tcW w:w="5112" w:type="dxa"/>
          </w:tcPr>
          <w:p w:rsidR="00764243" w:rsidRPr="00E325A4" w:rsidP="007A631D" w14:paraId="04ACBA56" w14:textId="77777777">
            <w:pPr>
              <w:jc w:val="left"/>
              <w:rPr>
                <w:w w:val="100"/>
                <w:szCs w:val="22"/>
              </w:rPr>
            </w:pPr>
            <w:r w:rsidRPr="00E325A4">
              <w:rPr>
                <w:w w:val="100"/>
                <w:szCs w:val="22"/>
              </w:rPr>
              <w:t>Die nachfolgend angeführten unternehmerischen Maßnahmen bedürfen der Zustimmung der Investoren (exemplarische Beispiele angeführt):</w:t>
            </w:r>
          </w:p>
          <w:p w:rsidR="00764243" w:rsidRPr="00E325A4" w:rsidP="007A631D" w14:paraId="71751AA1" w14:textId="77777777">
            <w:pPr>
              <w:jc w:val="left"/>
              <w:rPr>
                <w:w w:val="100"/>
                <w:szCs w:val="22"/>
              </w:rPr>
            </w:pPr>
          </w:p>
          <w:p w:rsidR="00764243" w:rsidRPr="00E325A4" w:rsidP="00764243" w14:paraId="348B84D4" w14:textId="77777777">
            <w:pPr>
              <w:pStyle w:val="ListParagraph"/>
              <w:numPr>
                <w:ilvl w:val="0"/>
                <w:numId w:val="16"/>
              </w:numPr>
              <w:jc w:val="left"/>
              <w:rPr>
                <w:w w:val="100"/>
                <w:szCs w:val="22"/>
              </w:rPr>
            </w:pPr>
            <w:r w:rsidRPr="00E325A4">
              <w:rPr>
                <w:w w:val="100"/>
                <w:szCs w:val="22"/>
              </w:rPr>
              <w:t>Veräußerung von IP-Rechten</w:t>
            </w:r>
          </w:p>
          <w:p w:rsidR="00764243" w:rsidRPr="00E325A4" w:rsidP="00764243" w14:paraId="67739A0C" w14:textId="77777777">
            <w:pPr>
              <w:pStyle w:val="ListParagraph"/>
              <w:numPr>
                <w:ilvl w:val="0"/>
                <w:numId w:val="16"/>
              </w:numPr>
              <w:jc w:val="left"/>
              <w:rPr>
                <w:w w:val="100"/>
                <w:szCs w:val="22"/>
              </w:rPr>
            </w:pPr>
            <w:r w:rsidRPr="00E325A4">
              <w:rPr>
                <w:w w:val="100"/>
                <w:szCs w:val="22"/>
              </w:rPr>
              <w:t>Änderungen der Gesellschaftersatzung</w:t>
            </w:r>
          </w:p>
          <w:p w:rsidR="007A631D" w:rsidRPr="00E325A4" w:rsidP="007A631D" w14:paraId="58E9A0D0" w14:textId="77777777">
            <w:pPr>
              <w:pStyle w:val="ListParagraph"/>
              <w:numPr>
                <w:ilvl w:val="0"/>
                <w:numId w:val="16"/>
              </w:numPr>
              <w:jc w:val="left"/>
              <w:rPr>
                <w:w w:val="100"/>
                <w:szCs w:val="22"/>
              </w:rPr>
            </w:pPr>
            <w:r w:rsidRPr="00E325A4">
              <w:rPr>
                <w:w w:val="100"/>
                <w:szCs w:val="22"/>
              </w:rPr>
              <w:t>Bestellung und Abberufung der Geschäftsführer</w:t>
            </w:r>
          </w:p>
        </w:tc>
        <w:tc>
          <w:tcPr>
            <w:tcW w:w="5984" w:type="dxa"/>
          </w:tcPr>
          <w:p w:rsidR="00D02B6E" w:rsidRPr="00E325A4" w:rsidP="007A631D" w14:paraId="15CB3F54" w14:textId="77777777">
            <w:pPr>
              <w:jc w:val="left"/>
              <w:rPr>
                <w:w w:val="100"/>
                <w:szCs w:val="22"/>
              </w:rPr>
            </w:pPr>
            <w:r w:rsidRPr="00E325A4">
              <w:rPr>
                <w:w w:val="100"/>
                <w:szCs w:val="22"/>
              </w:rPr>
              <w:t>Mittels eines Zustimmungsvorbehalts sichern sich Investoren die Möglichkeit/das Recht, dass trotz Minderheitsbeteiligung eine Überstimmung nicht möglich ist. Die Inanspruchnahme des Zustimmungsrechts sollte nicht dazu führen, dass eine Steuerung des operativen Geschäfts durch den Investor allei</w:t>
            </w:r>
            <w:r w:rsidRPr="00E325A4" w:rsidR="00BD1F36">
              <w:rPr>
                <w:w w:val="100"/>
                <w:szCs w:val="22"/>
              </w:rPr>
              <w:t xml:space="preserve">ne möglich ist, sondern ist nur dann vertretbar, wenn die zu treffenden Entscheidungen direkt die Interessen des Investors tangieren. </w:t>
            </w:r>
          </w:p>
          <w:p w:rsidR="007A631D" w:rsidRPr="00E325A4" w:rsidP="007A631D" w14:paraId="31494558" w14:textId="77777777">
            <w:pPr>
              <w:jc w:val="left"/>
              <w:rPr>
                <w:w w:val="100"/>
                <w:szCs w:val="22"/>
              </w:rPr>
            </w:pPr>
          </w:p>
        </w:tc>
      </w:tr>
      <w:tr w14:paraId="04A521DA" w14:textId="77777777" w:rsidTr="00E325A4">
        <w:tblPrEx>
          <w:tblW w:w="14596" w:type="dxa"/>
          <w:tblLook w:val="04A0"/>
        </w:tblPrEx>
        <w:trPr>
          <w:cantSplit/>
        </w:trPr>
        <w:tc>
          <w:tcPr>
            <w:tcW w:w="3500" w:type="dxa"/>
          </w:tcPr>
          <w:p w:rsidR="007A631D" w:rsidRPr="00E325A4" w:rsidP="00393296" w14:paraId="1566D4C6" w14:textId="77777777">
            <w:pPr>
              <w:jc w:val="left"/>
              <w:rPr>
                <w:b/>
                <w:w w:val="100"/>
                <w:szCs w:val="22"/>
                <w:lang w:val="en-GB"/>
              </w:rPr>
            </w:pPr>
            <w:r w:rsidRPr="00E325A4">
              <w:rPr>
                <w:b/>
                <w:w w:val="100"/>
                <w:szCs w:val="22"/>
                <w:lang w:val="en-GB"/>
              </w:rPr>
              <w:t>Wettbewerbsverbot</w:t>
            </w:r>
          </w:p>
          <w:p w:rsidR="007A631D" w:rsidRPr="00E325A4" w:rsidP="007A631D" w14:paraId="24FD5E76" w14:textId="77777777">
            <w:pPr>
              <w:jc w:val="left"/>
              <w:rPr>
                <w:b/>
                <w:w w:val="100"/>
                <w:szCs w:val="22"/>
                <w:lang w:val="en-GB"/>
              </w:rPr>
            </w:pPr>
          </w:p>
        </w:tc>
        <w:tc>
          <w:tcPr>
            <w:tcW w:w="5112" w:type="dxa"/>
          </w:tcPr>
          <w:p w:rsidR="00BD1F36" w:rsidRPr="00E325A4" w:rsidP="00FC3E8E" w14:paraId="271DA6FE" w14:textId="77777777">
            <w:pPr>
              <w:jc w:val="left"/>
              <w:rPr>
                <w:w w:val="100"/>
                <w:szCs w:val="22"/>
              </w:rPr>
            </w:pPr>
            <w:r w:rsidRPr="00E325A4">
              <w:rPr>
                <w:w w:val="100"/>
                <w:szCs w:val="22"/>
              </w:rPr>
              <w:t>Die Unternehmensgesellschafter unterliegen solange sie Anteile am Unternehmen halten, eine Geschäftsführertätigkeit ausüben oder beim Unternehmen angestellt sind</w:t>
            </w:r>
            <w:r w:rsidRPr="00E325A4" w:rsidR="0072396F">
              <w:rPr>
                <w:w w:val="100"/>
                <w:szCs w:val="22"/>
              </w:rPr>
              <w:t>,</w:t>
            </w:r>
            <w:r w:rsidRPr="00E325A4">
              <w:rPr>
                <w:w w:val="100"/>
                <w:szCs w:val="22"/>
              </w:rPr>
              <w:t xml:space="preserve"> </w:t>
            </w:r>
            <w:r w:rsidRPr="00E325A4" w:rsidR="00D3173C">
              <w:rPr>
                <w:w w:val="100"/>
                <w:szCs w:val="22"/>
              </w:rPr>
              <w:t xml:space="preserve">für einen Zeitraum von </w:t>
            </w:r>
            <w:r w:rsidRPr="00E325A4" w:rsidR="0072396F">
              <w:rPr>
                <w:w w:val="100"/>
                <w:szCs w:val="22"/>
              </w:rPr>
              <w:t>24</w:t>
            </w:r>
            <w:r w:rsidRPr="00E325A4" w:rsidR="00D3173C">
              <w:rPr>
                <w:w w:val="100"/>
                <w:szCs w:val="22"/>
              </w:rPr>
              <w:t xml:space="preserve"> Monaten danach den üblichen Wettbewerbs- und Abwerbeverboten. </w:t>
            </w:r>
            <w:r w:rsidRPr="00E325A4">
              <w:rPr>
                <w:w w:val="100"/>
                <w:szCs w:val="22"/>
              </w:rPr>
              <w:t xml:space="preserve"> </w:t>
            </w:r>
          </w:p>
          <w:p w:rsidR="00BD1F36" w:rsidRPr="00E325A4" w:rsidP="00FC3E8E" w14:paraId="379C14BF" w14:textId="77777777">
            <w:pPr>
              <w:jc w:val="left"/>
              <w:rPr>
                <w:w w:val="100"/>
                <w:szCs w:val="22"/>
              </w:rPr>
            </w:pPr>
          </w:p>
          <w:p w:rsidR="00BD1F36" w:rsidRPr="00E325A4" w:rsidP="00FC3E8E" w14:paraId="79D4BF3F" w14:textId="77777777">
            <w:pPr>
              <w:jc w:val="left"/>
              <w:rPr>
                <w:w w:val="100"/>
                <w:szCs w:val="22"/>
              </w:rPr>
            </w:pPr>
          </w:p>
          <w:p w:rsidR="007A631D" w:rsidRPr="00E325A4" w:rsidP="00FC3E8E" w14:paraId="71B9C83F" w14:textId="77777777">
            <w:pPr>
              <w:jc w:val="left"/>
              <w:rPr>
                <w:w w:val="100"/>
                <w:szCs w:val="22"/>
              </w:rPr>
            </w:pPr>
          </w:p>
        </w:tc>
        <w:tc>
          <w:tcPr>
            <w:tcW w:w="5984" w:type="dxa"/>
          </w:tcPr>
          <w:p w:rsidR="005C2201" w:rsidP="0072396F" w14:paraId="7F441C88" w14:textId="77777777">
            <w:pPr>
              <w:jc w:val="left"/>
              <w:rPr>
                <w:w w:val="100"/>
                <w:szCs w:val="22"/>
              </w:rPr>
            </w:pPr>
            <w:r w:rsidRPr="00E325A4">
              <w:rPr>
                <w:w w:val="100"/>
                <w:szCs w:val="22"/>
              </w:rPr>
              <w:t>Das Wettbewerbsverbot soll sicherstellen, dass die Unternehmensgesellschafter (kann auch nur die Gründer betreffen) innerhalb eines definierten Zeitraums (z</w:t>
            </w:r>
            <w:r w:rsidRPr="00E325A4" w:rsidR="0072396F">
              <w:rPr>
                <w:w w:val="100"/>
                <w:szCs w:val="22"/>
              </w:rPr>
              <w:t>.</w:t>
            </w:r>
            <w:r w:rsidRPr="00E325A4">
              <w:rPr>
                <w:w w:val="100"/>
                <w:szCs w:val="22"/>
              </w:rPr>
              <w:t>B</w:t>
            </w:r>
            <w:r w:rsidRPr="00E325A4" w:rsidR="0072396F">
              <w:rPr>
                <w:w w:val="100"/>
                <w:szCs w:val="22"/>
              </w:rPr>
              <w:t>.</w:t>
            </w:r>
            <w:r w:rsidRPr="00E325A4">
              <w:rPr>
                <w:w w:val="100"/>
                <w:szCs w:val="22"/>
              </w:rPr>
              <w:t xml:space="preserve"> für die Dauer der Gesellschafterstellung sowie auch eine bestimmte Zeit danach) keine Tätigkeit a</w:t>
            </w:r>
            <w:r w:rsidRPr="00E325A4" w:rsidR="000B3CD5">
              <w:rPr>
                <w:w w:val="100"/>
                <w:szCs w:val="22"/>
              </w:rPr>
              <w:t>usüben oder Stellung ein</w:t>
            </w:r>
            <w:r w:rsidRPr="00E325A4">
              <w:rPr>
                <w:w w:val="100"/>
                <w:szCs w:val="22"/>
              </w:rPr>
              <w:t>nehmen (z</w:t>
            </w:r>
            <w:r w:rsidRPr="00E325A4" w:rsidR="0072396F">
              <w:rPr>
                <w:w w:val="100"/>
                <w:szCs w:val="22"/>
              </w:rPr>
              <w:t>.</w:t>
            </w:r>
            <w:r w:rsidRPr="00E325A4">
              <w:rPr>
                <w:w w:val="100"/>
                <w:szCs w:val="22"/>
              </w:rPr>
              <w:t>B</w:t>
            </w:r>
            <w:r w:rsidRPr="00E325A4" w:rsidR="0072396F">
              <w:rPr>
                <w:w w:val="100"/>
                <w:szCs w:val="22"/>
              </w:rPr>
              <w:t>.</w:t>
            </w:r>
            <w:r w:rsidRPr="00E325A4">
              <w:rPr>
                <w:w w:val="100"/>
                <w:szCs w:val="22"/>
              </w:rPr>
              <w:t xml:space="preserve"> Geschäftsführer oder Berater eines anderen Unternehmen</w:t>
            </w:r>
            <w:r w:rsidRPr="00E325A4" w:rsidR="00F42773">
              <w:rPr>
                <w:w w:val="100"/>
                <w:szCs w:val="22"/>
              </w:rPr>
              <w:t>s</w:t>
            </w:r>
            <w:r w:rsidRPr="00E325A4">
              <w:rPr>
                <w:w w:val="100"/>
                <w:szCs w:val="22"/>
              </w:rPr>
              <w:t xml:space="preserve">), </w:t>
            </w:r>
            <w:r w:rsidRPr="00E325A4" w:rsidR="0072396F">
              <w:rPr>
                <w:w w:val="100"/>
                <w:szCs w:val="22"/>
              </w:rPr>
              <w:t>welche</w:t>
            </w:r>
            <w:r w:rsidRPr="00E325A4">
              <w:rPr>
                <w:w w:val="100"/>
                <w:szCs w:val="22"/>
              </w:rPr>
              <w:t xml:space="preserve"> </w:t>
            </w:r>
            <w:r w:rsidRPr="00E325A4" w:rsidR="000B3CD5">
              <w:rPr>
                <w:w w:val="100"/>
                <w:szCs w:val="22"/>
              </w:rPr>
              <w:t>im Wettbewerb mit dem Unternehmen steht</w:t>
            </w:r>
            <w:r w:rsidRPr="00E325A4" w:rsidR="0072396F">
              <w:rPr>
                <w:w w:val="100"/>
                <w:szCs w:val="22"/>
              </w:rPr>
              <w:t>. E</w:t>
            </w:r>
            <w:r w:rsidRPr="00E325A4" w:rsidR="00F42773">
              <w:rPr>
                <w:w w:val="100"/>
                <w:szCs w:val="22"/>
              </w:rPr>
              <w:t>s</w:t>
            </w:r>
            <w:r w:rsidRPr="00E325A4" w:rsidR="0072396F">
              <w:rPr>
                <w:w w:val="100"/>
                <w:szCs w:val="22"/>
              </w:rPr>
              <w:t xml:space="preserve"> ist</w:t>
            </w:r>
            <w:r w:rsidRPr="00E325A4" w:rsidR="00F42773">
              <w:rPr>
                <w:w w:val="100"/>
                <w:szCs w:val="22"/>
              </w:rPr>
              <w:t xml:space="preserve"> nicht möglich, z</w:t>
            </w:r>
            <w:r w:rsidRPr="00E325A4" w:rsidR="0072396F">
              <w:rPr>
                <w:w w:val="100"/>
                <w:szCs w:val="22"/>
              </w:rPr>
              <w:t>.</w:t>
            </w:r>
            <w:r w:rsidRPr="00E325A4" w:rsidR="00F42773">
              <w:rPr>
                <w:w w:val="100"/>
                <w:szCs w:val="22"/>
              </w:rPr>
              <w:t>B</w:t>
            </w:r>
            <w:r w:rsidRPr="00E325A4" w:rsidR="0072396F">
              <w:rPr>
                <w:w w:val="100"/>
                <w:szCs w:val="22"/>
              </w:rPr>
              <w:t>.</w:t>
            </w:r>
            <w:r w:rsidRPr="00E325A4" w:rsidR="00F42773">
              <w:rPr>
                <w:w w:val="100"/>
                <w:szCs w:val="22"/>
              </w:rPr>
              <w:t xml:space="preserve"> leitende Mitarbeiter oder Kunden vom Unternehmen direkt oder indirekt abzuwerben.</w:t>
            </w:r>
          </w:p>
          <w:p w:rsidR="005E1A4C" w:rsidRPr="00E325A4" w:rsidP="0072396F" w14:paraId="73079327" w14:textId="77777777">
            <w:pPr>
              <w:jc w:val="left"/>
              <w:rPr>
                <w:w w:val="100"/>
                <w:szCs w:val="22"/>
              </w:rPr>
            </w:pPr>
          </w:p>
        </w:tc>
      </w:tr>
      <w:tr w14:paraId="1C8CC7C0" w14:textId="77777777" w:rsidTr="00E325A4">
        <w:tblPrEx>
          <w:tblW w:w="14596" w:type="dxa"/>
          <w:tblLook w:val="04A0"/>
        </w:tblPrEx>
        <w:trPr>
          <w:cantSplit/>
        </w:trPr>
        <w:tc>
          <w:tcPr>
            <w:tcW w:w="3500" w:type="dxa"/>
          </w:tcPr>
          <w:p w:rsidR="007A631D" w:rsidRPr="00E325A4" w:rsidP="00393296" w14:paraId="4E106436" w14:textId="77777777">
            <w:pPr>
              <w:jc w:val="left"/>
              <w:rPr>
                <w:b/>
                <w:w w:val="100"/>
                <w:szCs w:val="22"/>
                <w:lang w:val="en-GB"/>
              </w:rPr>
            </w:pPr>
            <w:r w:rsidRPr="00E325A4">
              <w:rPr>
                <w:b/>
                <w:w w:val="100"/>
                <w:szCs w:val="22"/>
              </w:rPr>
              <w:t>Intellectual Property</w:t>
            </w:r>
          </w:p>
        </w:tc>
        <w:tc>
          <w:tcPr>
            <w:tcW w:w="5112" w:type="dxa"/>
          </w:tcPr>
          <w:p w:rsidR="005E6EFB" w:rsidRPr="00E325A4" w:rsidP="007A631D" w14:paraId="65E15869" w14:textId="77777777">
            <w:pPr>
              <w:jc w:val="left"/>
              <w:rPr>
                <w:w w:val="100"/>
                <w:szCs w:val="22"/>
              </w:rPr>
            </w:pPr>
            <w:r w:rsidRPr="00E325A4">
              <w:rPr>
                <w:w w:val="100"/>
                <w:szCs w:val="22"/>
              </w:rPr>
              <w:t xml:space="preserve">Nachfolgend angeführte </w:t>
            </w:r>
            <w:r w:rsidRPr="00E325A4" w:rsidR="00192918">
              <w:rPr>
                <w:w w:val="100"/>
                <w:szCs w:val="22"/>
              </w:rPr>
              <w:t xml:space="preserve">IP-Rechte liegen vor und sind bereits umgeschrieben bzw. sind vor der Unterzeichnung </w:t>
            </w:r>
            <w:r w:rsidRPr="00E325A4" w:rsidR="0072396F">
              <w:rPr>
                <w:w w:val="100"/>
                <w:szCs w:val="22"/>
              </w:rPr>
              <w:t xml:space="preserve">des Term Sheet </w:t>
            </w:r>
            <w:r w:rsidRPr="00E325A4" w:rsidR="00192918">
              <w:rPr>
                <w:w w:val="100"/>
                <w:szCs w:val="22"/>
              </w:rPr>
              <w:t>noch auf das Unternehmen umzuschreiben:</w:t>
            </w:r>
          </w:p>
          <w:p w:rsidR="00192918" w:rsidRPr="00E325A4" w:rsidP="007A631D" w14:paraId="1109AA76" w14:textId="77777777">
            <w:pPr>
              <w:jc w:val="left"/>
              <w:rPr>
                <w:w w:val="100"/>
                <w:szCs w:val="22"/>
              </w:rPr>
            </w:pPr>
          </w:p>
          <w:p w:rsidR="0055240D" w:rsidRPr="00E325A4" w:rsidP="007E1956" w14:paraId="3ADD1D13" w14:textId="77777777">
            <w:pPr>
              <w:pStyle w:val="ListParagraph"/>
              <w:numPr>
                <w:ilvl w:val="0"/>
                <w:numId w:val="16"/>
              </w:numPr>
              <w:jc w:val="left"/>
              <w:rPr>
                <w:w w:val="100"/>
                <w:szCs w:val="22"/>
              </w:rPr>
            </w:pPr>
            <w:r w:rsidRPr="00E325A4">
              <w:rPr>
                <w:w w:val="100"/>
                <w:szCs w:val="22"/>
              </w:rPr>
              <w:t>PCT-Patentanmeldung PCT/AT2021/9435234</w:t>
            </w:r>
            <w:r w:rsidRPr="00E325A4" w:rsidR="00503C80">
              <w:rPr>
                <w:w w:val="100"/>
                <w:szCs w:val="22"/>
              </w:rPr>
              <w:t>5</w:t>
            </w:r>
            <w:r w:rsidRPr="00E325A4">
              <w:rPr>
                <w:w w:val="100"/>
                <w:szCs w:val="22"/>
              </w:rPr>
              <w:t>68 (Umschreibung noch ausstehend)</w:t>
            </w:r>
          </w:p>
          <w:p w:rsidR="0055240D" w:rsidP="007A631D" w14:paraId="4FB1422F" w14:textId="77777777">
            <w:pPr>
              <w:pStyle w:val="ListParagraph"/>
              <w:numPr>
                <w:ilvl w:val="0"/>
                <w:numId w:val="16"/>
              </w:numPr>
              <w:jc w:val="left"/>
              <w:rPr>
                <w:w w:val="100"/>
                <w:szCs w:val="22"/>
              </w:rPr>
            </w:pPr>
            <w:r w:rsidRPr="00E325A4">
              <w:rPr>
                <w:w w:val="100"/>
                <w:szCs w:val="22"/>
              </w:rPr>
              <w:t>Patentanmeldung A5467984</w:t>
            </w:r>
            <w:r w:rsidRPr="00E325A4" w:rsidR="00503C80">
              <w:rPr>
                <w:w w:val="100"/>
                <w:szCs w:val="22"/>
              </w:rPr>
              <w:t>6</w:t>
            </w:r>
            <w:r w:rsidRPr="00E325A4">
              <w:rPr>
                <w:w w:val="100"/>
                <w:szCs w:val="22"/>
              </w:rPr>
              <w:t>68/2021 (ist bereits auf die Muster GmbH umgeschrieben)</w:t>
            </w:r>
          </w:p>
          <w:p w:rsidR="005E1A4C" w:rsidRPr="00E325A4" w:rsidP="005E1A4C" w14:paraId="5E44EE92" w14:textId="77777777">
            <w:pPr>
              <w:pStyle w:val="ListParagraph"/>
              <w:jc w:val="left"/>
              <w:rPr>
                <w:w w:val="100"/>
                <w:szCs w:val="22"/>
              </w:rPr>
            </w:pPr>
          </w:p>
        </w:tc>
        <w:tc>
          <w:tcPr>
            <w:tcW w:w="5984" w:type="dxa"/>
          </w:tcPr>
          <w:p w:rsidR="007A631D" w:rsidRPr="00E325A4" w:rsidP="007A631D" w14:paraId="15814DA7" w14:textId="77777777">
            <w:pPr>
              <w:jc w:val="left"/>
              <w:rPr>
                <w:w w:val="100"/>
                <w:szCs w:val="22"/>
              </w:rPr>
            </w:pPr>
            <w:r w:rsidRPr="00E325A4">
              <w:rPr>
                <w:w w:val="100"/>
                <w:szCs w:val="22"/>
              </w:rPr>
              <w:t xml:space="preserve">Für die Investoren ist es von zentraler Bedeutung, dass das Unternehmen bereits vor Unterzeichnung des </w:t>
            </w:r>
            <w:r w:rsidRPr="00E325A4" w:rsidR="0072396F">
              <w:rPr>
                <w:w w:val="100"/>
                <w:szCs w:val="22"/>
              </w:rPr>
              <w:t>Term Sheets</w:t>
            </w:r>
            <w:r w:rsidRPr="00E325A4">
              <w:rPr>
                <w:w w:val="100"/>
                <w:szCs w:val="22"/>
              </w:rPr>
              <w:t xml:space="preserve"> über die IP-Rechte verfügt. </w:t>
            </w:r>
            <w:r w:rsidRPr="00E325A4" w:rsidR="005E6EFB">
              <w:rPr>
                <w:w w:val="100"/>
                <w:szCs w:val="22"/>
              </w:rPr>
              <w:t xml:space="preserve">Seitens der Unternehmensgründer muss </w:t>
            </w:r>
            <w:r w:rsidRPr="00E325A4">
              <w:rPr>
                <w:w w:val="100"/>
                <w:szCs w:val="22"/>
              </w:rPr>
              <w:t xml:space="preserve">daher </w:t>
            </w:r>
            <w:r w:rsidRPr="00E325A4" w:rsidR="005E6EFB">
              <w:rPr>
                <w:w w:val="100"/>
                <w:szCs w:val="22"/>
              </w:rPr>
              <w:t>sichergestellt werden, dass die</w:t>
            </w:r>
            <w:r w:rsidRPr="00E325A4">
              <w:rPr>
                <w:w w:val="100"/>
                <w:szCs w:val="22"/>
              </w:rPr>
              <w:t xml:space="preserve"> Übertragung der</w:t>
            </w:r>
            <w:r w:rsidRPr="00E325A4" w:rsidR="005E6EFB">
              <w:rPr>
                <w:w w:val="100"/>
                <w:szCs w:val="22"/>
              </w:rPr>
              <w:t xml:space="preserve"> IP-Rechte, die für die </w:t>
            </w:r>
            <w:r w:rsidRPr="00E325A4">
              <w:rPr>
                <w:w w:val="100"/>
                <w:szCs w:val="22"/>
              </w:rPr>
              <w:t xml:space="preserve">Tätigkeit der Gesellschaft </w:t>
            </w:r>
            <w:r w:rsidRPr="00E325A4" w:rsidR="005E6EFB">
              <w:rPr>
                <w:w w:val="100"/>
                <w:szCs w:val="22"/>
              </w:rPr>
              <w:t xml:space="preserve">unerlässlich sind, </w:t>
            </w:r>
            <w:r w:rsidRPr="00E325A4">
              <w:rPr>
                <w:w w:val="100"/>
                <w:szCs w:val="22"/>
              </w:rPr>
              <w:t>bereits vor</w:t>
            </w:r>
            <w:r w:rsidRPr="00E325A4" w:rsidR="005E6EFB">
              <w:rPr>
                <w:w w:val="100"/>
                <w:szCs w:val="22"/>
              </w:rPr>
              <w:t xml:space="preserve"> der Unterzeichnung des </w:t>
            </w:r>
            <w:r w:rsidRPr="00E325A4" w:rsidR="007C6034">
              <w:rPr>
                <w:w w:val="100"/>
                <w:szCs w:val="22"/>
              </w:rPr>
              <w:t xml:space="preserve">Term </w:t>
            </w:r>
            <w:r w:rsidRPr="00E325A4" w:rsidR="005E6EFB">
              <w:rPr>
                <w:w w:val="100"/>
                <w:szCs w:val="22"/>
              </w:rPr>
              <w:t xml:space="preserve">Sheets </w:t>
            </w:r>
            <w:r w:rsidRPr="00E325A4">
              <w:rPr>
                <w:w w:val="100"/>
                <w:szCs w:val="22"/>
              </w:rPr>
              <w:t>stattgefunden hat.</w:t>
            </w:r>
          </w:p>
        </w:tc>
      </w:tr>
      <w:tr w14:paraId="20B6EDDF" w14:textId="77777777" w:rsidTr="00E325A4">
        <w:tblPrEx>
          <w:tblW w:w="14596" w:type="dxa"/>
          <w:tblLook w:val="04A0"/>
        </w:tblPrEx>
        <w:trPr>
          <w:cantSplit/>
        </w:trPr>
        <w:tc>
          <w:tcPr>
            <w:tcW w:w="3500" w:type="dxa"/>
          </w:tcPr>
          <w:p w:rsidR="008E209B" w:rsidRPr="00E325A4" w:rsidP="00206DF9" w14:paraId="5FD7E08C" w14:textId="77777777">
            <w:pPr>
              <w:jc w:val="left"/>
              <w:rPr>
                <w:b/>
                <w:color w:val="000000" w:themeColor="text1"/>
                <w:w w:val="100"/>
                <w:szCs w:val="22"/>
              </w:rPr>
            </w:pPr>
            <w:r w:rsidRPr="00E325A4">
              <w:rPr>
                <w:b/>
                <w:color w:val="000000" w:themeColor="text1"/>
                <w:w w:val="100"/>
                <w:szCs w:val="22"/>
              </w:rPr>
              <w:t xml:space="preserve">Zusicherungen und </w:t>
            </w:r>
            <w:r w:rsidRPr="00E325A4" w:rsidR="003250D9">
              <w:rPr>
                <w:b/>
                <w:color w:val="000000" w:themeColor="text1"/>
                <w:w w:val="100"/>
                <w:szCs w:val="22"/>
              </w:rPr>
              <w:t>Gewährleistungen</w:t>
            </w:r>
          </w:p>
          <w:p w:rsidR="00654CAA" w:rsidRPr="00E325A4" w:rsidP="00206DF9" w14:paraId="77CE45DB" w14:textId="77777777">
            <w:pPr>
              <w:jc w:val="left"/>
              <w:rPr>
                <w:b/>
                <w:color w:val="000000" w:themeColor="text1"/>
                <w:w w:val="100"/>
                <w:szCs w:val="22"/>
              </w:rPr>
            </w:pPr>
            <w:r w:rsidRPr="00E325A4">
              <w:rPr>
                <w:b/>
                <w:color w:val="000000" w:themeColor="text1"/>
                <w:w w:val="100"/>
                <w:szCs w:val="22"/>
              </w:rPr>
              <w:t>(Warranties</w:t>
            </w:r>
            <w:r w:rsidRPr="00E325A4" w:rsidR="005C2201">
              <w:rPr>
                <w:b/>
                <w:color w:val="000000" w:themeColor="text1"/>
                <w:w w:val="100"/>
                <w:szCs w:val="22"/>
              </w:rPr>
              <w:t>)</w:t>
            </w:r>
          </w:p>
        </w:tc>
        <w:tc>
          <w:tcPr>
            <w:tcW w:w="5112" w:type="dxa"/>
          </w:tcPr>
          <w:p w:rsidR="002E3CC3" w:rsidRPr="00E325A4" w:rsidP="00206DF9" w14:paraId="3F5ACB15" w14:textId="77777777">
            <w:pPr>
              <w:jc w:val="left"/>
              <w:rPr>
                <w:w w:val="100"/>
                <w:szCs w:val="22"/>
              </w:rPr>
            </w:pPr>
            <w:r w:rsidRPr="00E325A4">
              <w:rPr>
                <w:w w:val="100"/>
                <w:szCs w:val="22"/>
              </w:rPr>
              <w:t xml:space="preserve">Nachfolgend </w:t>
            </w:r>
            <w:r w:rsidRPr="00E325A4" w:rsidR="003250D9">
              <w:rPr>
                <w:w w:val="100"/>
                <w:szCs w:val="22"/>
              </w:rPr>
              <w:t xml:space="preserve">exemplarisch </w:t>
            </w:r>
            <w:r w:rsidRPr="00E325A4">
              <w:rPr>
                <w:w w:val="100"/>
                <w:szCs w:val="22"/>
              </w:rPr>
              <w:t>angeführte und beigelegte Zusicherungen und G</w:t>
            </w:r>
            <w:r w:rsidRPr="00E325A4" w:rsidR="003250D9">
              <w:rPr>
                <w:w w:val="100"/>
                <w:szCs w:val="22"/>
              </w:rPr>
              <w:t xml:space="preserve">ewährleistungen </w:t>
            </w:r>
            <w:r w:rsidRPr="00E325A4">
              <w:rPr>
                <w:w w:val="100"/>
                <w:szCs w:val="22"/>
              </w:rPr>
              <w:t>wurden seitens der Unternehmensgründer abgegeben:</w:t>
            </w:r>
          </w:p>
          <w:p w:rsidR="002E3CC3" w:rsidRPr="00E325A4" w:rsidP="00206DF9" w14:paraId="192DCD75" w14:textId="77777777">
            <w:pPr>
              <w:jc w:val="left"/>
              <w:rPr>
                <w:w w:val="100"/>
                <w:szCs w:val="22"/>
              </w:rPr>
            </w:pPr>
          </w:p>
          <w:p w:rsidR="002E3CC3" w:rsidRPr="00E325A4" w:rsidP="00DA28BF" w14:paraId="0D2FB967" w14:textId="77777777">
            <w:pPr>
              <w:pStyle w:val="ListParagraph"/>
              <w:numPr>
                <w:ilvl w:val="0"/>
                <w:numId w:val="16"/>
              </w:numPr>
              <w:jc w:val="left"/>
              <w:rPr>
                <w:w w:val="100"/>
                <w:szCs w:val="22"/>
              </w:rPr>
            </w:pPr>
            <w:r w:rsidRPr="00E325A4">
              <w:rPr>
                <w:w w:val="100"/>
                <w:szCs w:val="22"/>
              </w:rPr>
              <w:t>Richtigkeit und Vollständigkeit des Jahresabschlusses</w:t>
            </w:r>
          </w:p>
          <w:p w:rsidR="00654CAA" w:rsidP="00206DF9" w14:paraId="7AE86B39" w14:textId="77777777">
            <w:pPr>
              <w:pStyle w:val="ListParagraph"/>
              <w:numPr>
                <w:ilvl w:val="0"/>
                <w:numId w:val="16"/>
              </w:numPr>
              <w:jc w:val="left"/>
              <w:rPr>
                <w:w w:val="100"/>
                <w:szCs w:val="22"/>
              </w:rPr>
            </w:pPr>
            <w:r w:rsidRPr="00E325A4">
              <w:rPr>
                <w:w w:val="100"/>
                <w:szCs w:val="22"/>
              </w:rPr>
              <w:t>Ordnungsgemäße Erstellung des Geschäftsplans unter Einhaltung der steuerlichen Vorschriften</w:t>
            </w:r>
          </w:p>
          <w:p w:rsidR="005E1A4C" w:rsidRPr="00E325A4" w:rsidP="005E1A4C" w14:paraId="41665C7F" w14:textId="77777777">
            <w:pPr>
              <w:pStyle w:val="ListParagraph"/>
              <w:jc w:val="left"/>
              <w:rPr>
                <w:w w:val="100"/>
                <w:szCs w:val="22"/>
              </w:rPr>
            </w:pPr>
          </w:p>
        </w:tc>
        <w:tc>
          <w:tcPr>
            <w:tcW w:w="5984" w:type="dxa"/>
          </w:tcPr>
          <w:p w:rsidR="002E3CC3" w:rsidRPr="00E325A4" w:rsidP="00206DF9" w14:paraId="0EF75878" w14:textId="77777777">
            <w:pPr>
              <w:jc w:val="left"/>
              <w:rPr>
                <w:w w:val="100"/>
                <w:szCs w:val="22"/>
              </w:rPr>
            </w:pPr>
            <w:r w:rsidRPr="00E325A4">
              <w:rPr>
                <w:w w:val="100"/>
                <w:szCs w:val="22"/>
              </w:rPr>
              <w:t xml:space="preserve">In der Regel lässt sich der Investor die </w:t>
            </w:r>
            <w:r w:rsidRPr="00E325A4" w:rsidR="003250D9">
              <w:rPr>
                <w:w w:val="100"/>
                <w:szCs w:val="22"/>
              </w:rPr>
              <w:t>Gewährleistungen</w:t>
            </w:r>
            <w:r w:rsidRPr="00E325A4">
              <w:rPr>
                <w:w w:val="100"/>
                <w:szCs w:val="22"/>
              </w:rPr>
              <w:t xml:space="preserve"> von den Gründern und nicht der Gesellschaft geben, da abgegebene </w:t>
            </w:r>
            <w:r w:rsidRPr="00E325A4" w:rsidR="003250D9">
              <w:rPr>
                <w:w w:val="100"/>
                <w:szCs w:val="22"/>
              </w:rPr>
              <w:t xml:space="preserve">Gewährleistungen </w:t>
            </w:r>
            <w:r w:rsidRPr="00E325A4">
              <w:rPr>
                <w:w w:val="100"/>
                <w:szCs w:val="22"/>
              </w:rPr>
              <w:t xml:space="preserve">von der Gesellschaft aufgrund einer möglichen Verletzung zwingender Kapitalerhaltungsvorschriften oftmals nicht wirksam sind. Im Zweifelfall sollten die </w:t>
            </w:r>
            <w:r w:rsidRPr="00E325A4" w:rsidR="003250D9">
              <w:rPr>
                <w:w w:val="100"/>
                <w:szCs w:val="22"/>
              </w:rPr>
              <w:t>Gewährleistungen</w:t>
            </w:r>
            <w:r w:rsidRPr="00E325A4">
              <w:rPr>
                <w:w w:val="100"/>
                <w:szCs w:val="22"/>
              </w:rPr>
              <w:t xml:space="preserve"> aus Sicht der Gründer nach bestem Wissen und Gewissen abgegeben werden.</w:t>
            </w:r>
          </w:p>
          <w:p w:rsidR="002E3CC3" w:rsidRPr="00E325A4" w:rsidP="00206DF9" w14:paraId="4209AF63" w14:textId="77777777">
            <w:pPr>
              <w:jc w:val="left"/>
              <w:rPr>
                <w:w w:val="100"/>
                <w:szCs w:val="22"/>
              </w:rPr>
            </w:pPr>
          </w:p>
          <w:p w:rsidR="00654CAA" w:rsidRPr="00E325A4" w:rsidP="00206DF9" w14:paraId="089A40DC" w14:textId="77777777">
            <w:pPr>
              <w:jc w:val="left"/>
              <w:rPr>
                <w:w w:val="100"/>
                <w:szCs w:val="22"/>
              </w:rPr>
            </w:pPr>
          </w:p>
        </w:tc>
      </w:tr>
      <w:tr w14:paraId="45BD411D" w14:textId="77777777" w:rsidTr="00E325A4">
        <w:tblPrEx>
          <w:tblW w:w="14596" w:type="dxa"/>
          <w:tblLook w:val="04A0"/>
        </w:tblPrEx>
        <w:trPr>
          <w:cantSplit/>
        </w:trPr>
        <w:tc>
          <w:tcPr>
            <w:tcW w:w="3500" w:type="dxa"/>
          </w:tcPr>
          <w:p w:rsidR="00654CAA" w:rsidRPr="00E325A4" w:rsidP="00206DF9" w14:paraId="24D05576" w14:textId="77777777">
            <w:pPr>
              <w:jc w:val="left"/>
              <w:rPr>
                <w:b/>
                <w:color w:val="000000" w:themeColor="text1"/>
                <w:w w:val="100"/>
                <w:szCs w:val="22"/>
              </w:rPr>
            </w:pPr>
            <w:r w:rsidRPr="00E325A4">
              <w:rPr>
                <w:b/>
                <w:color w:val="000000" w:themeColor="text1"/>
                <w:w w:val="100"/>
                <w:szCs w:val="22"/>
              </w:rPr>
              <w:t>Due-Diligence-Prüfung</w:t>
            </w:r>
          </w:p>
        </w:tc>
        <w:tc>
          <w:tcPr>
            <w:tcW w:w="5112" w:type="dxa"/>
          </w:tcPr>
          <w:p w:rsidR="00503C80" w:rsidRPr="00E325A4" w:rsidP="00206DF9" w14:paraId="676B5459" w14:textId="77777777">
            <w:pPr>
              <w:jc w:val="left"/>
              <w:rPr>
                <w:w w:val="100"/>
                <w:szCs w:val="22"/>
              </w:rPr>
            </w:pPr>
            <w:r w:rsidRPr="00E325A4">
              <w:rPr>
                <w:w w:val="100"/>
                <w:szCs w:val="22"/>
              </w:rPr>
              <w:t>Beginn der Due-Diligence-Prüfung: 31.10.20XX</w:t>
            </w:r>
          </w:p>
          <w:p w:rsidR="0035721A" w:rsidRPr="00E325A4" w:rsidP="00206DF9" w14:paraId="1B8FDB49" w14:textId="77777777">
            <w:pPr>
              <w:jc w:val="left"/>
              <w:rPr>
                <w:w w:val="100"/>
                <w:szCs w:val="22"/>
              </w:rPr>
            </w:pPr>
            <w:r w:rsidRPr="00E325A4">
              <w:rPr>
                <w:w w:val="100"/>
                <w:szCs w:val="22"/>
              </w:rPr>
              <w:t xml:space="preserve">Abschluss der Due-Diligence-Prüfung: </w:t>
            </w:r>
            <w:r w:rsidRPr="00E325A4" w:rsidR="00503C80">
              <w:rPr>
                <w:w w:val="100"/>
                <w:szCs w:val="22"/>
              </w:rPr>
              <w:t>15.</w:t>
            </w:r>
            <w:r w:rsidRPr="00E325A4" w:rsidR="00903DFE">
              <w:rPr>
                <w:w w:val="100"/>
                <w:szCs w:val="22"/>
              </w:rPr>
              <w:t>0</w:t>
            </w:r>
            <w:r w:rsidRPr="00E325A4" w:rsidR="00503C80">
              <w:rPr>
                <w:w w:val="100"/>
                <w:szCs w:val="22"/>
              </w:rPr>
              <w:t>1.20XX</w:t>
            </w:r>
          </w:p>
          <w:p w:rsidR="002A2A6E" w:rsidRPr="00E325A4" w:rsidP="006C64FF" w14:paraId="78DC4A25" w14:textId="77777777">
            <w:pPr>
              <w:jc w:val="left"/>
              <w:rPr>
                <w:w w:val="100"/>
                <w:szCs w:val="22"/>
              </w:rPr>
            </w:pPr>
          </w:p>
          <w:p w:rsidR="00622ADC" w:rsidRPr="00E325A4" w:rsidP="00206DF9" w14:paraId="36156A59" w14:textId="77777777">
            <w:pPr>
              <w:jc w:val="left"/>
              <w:rPr>
                <w:w w:val="100"/>
                <w:szCs w:val="22"/>
              </w:rPr>
            </w:pPr>
            <w:r w:rsidRPr="00E325A4">
              <w:rPr>
                <w:w w:val="100"/>
                <w:szCs w:val="22"/>
              </w:rPr>
              <w:t xml:space="preserve">Unterzeichnung der Geheimhaltungsvereinbarung ist am </w:t>
            </w:r>
            <w:r w:rsidRPr="00E325A4" w:rsidR="00503C80">
              <w:rPr>
                <w:w w:val="100"/>
                <w:szCs w:val="22"/>
              </w:rPr>
              <w:t>10.</w:t>
            </w:r>
            <w:r w:rsidRPr="00E325A4" w:rsidR="00903DFE">
              <w:rPr>
                <w:w w:val="100"/>
                <w:szCs w:val="22"/>
              </w:rPr>
              <w:t>0</w:t>
            </w:r>
            <w:r w:rsidRPr="00E325A4" w:rsidR="00503C80">
              <w:rPr>
                <w:w w:val="100"/>
                <w:szCs w:val="22"/>
              </w:rPr>
              <w:t>9.20XX</w:t>
            </w:r>
            <w:r w:rsidRPr="00E325A4">
              <w:rPr>
                <w:w w:val="100"/>
                <w:szCs w:val="22"/>
              </w:rPr>
              <w:t xml:space="preserve"> erfolgt.</w:t>
            </w:r>
          </w:p>
          <w:p w:rsidR="00654CAA" w:rsidRPr="00E325A4" w:rsidP="00206DF9" w14:paraId="6E9DAA60" w14:textId="77777777">
            <w:pPr>
              <w:jc w:val="left"/>
              <w:rPr>
                <w:w w:val="100"/>
                <w:szCs w:val="22"/>
              </w:rPr>
            </w:pPr>
          </w:p>
        </w:tc>
        <w:tc>
          <w:tcPr>
            <w:tcW w:w="5984" w:type="dxa"/>
          </w:tcPr>
          <w:p w:rsidR="00622ADC" w:rsidRPr="00E325A4" w:rsidP="008E209B" w14:paraId="319E211B" w14:textId="77777777">
            <w:pPr>
              <w:jc w:val="left"/>
              <w:rPr>
                <w:w w:val="100"/>
                <w:szCs w:val="22"/>
              </w:rPr>
            </w:pPr>
            <w:r w:rsidRPr="00E325A4">
              <w:rPr>
                <w:w w:val="100"/>
                <w:szCs w:val="22"/>
              </w:rPr>
              <w:t xml:space="preserve">Potenzielle Investoren können </w:t>
            </w:r>
            <w:r w:rsidRPr="00E325A4" w:rsidR="0035721A">
              <w:rPr>
                <w:w w:val="100"/>
                <w:szCs w:val="22"/>
              </w:rPr>
              <w:t>die</w:t>
            </w:r>
            <w:r w:rsidRPr="00E325A4">
              <w:rPr>
                <w:w w:val="100"/>
                <w:szCs w:val="22"/>
              </w:rPr>
              <w:t xml:space="preserve"> Due-Diligence-Prüfung durchführen, in der rechtliche, finanzielle, wirtschaftliche, technologische und steuerliche </w:t>
            </w:r>
            <w:r w:rsidRPr="00E325A4" w:rsidR="00903DFE">
              <w:rPr>
                <w:w w:val="100"/>
                <w:szCs w:val="22"/>
              </w:rPr>
              <w:t>Aspekte</w:t>
            </w:r>
            <w:r w:rsidRPr="00E325A4">
              <w:rPr>
                <w:w w:val="100"/>
                <w:szCs w:val="22"/>
              </w:rPr>
              <w:t xml:space="preserve"> des Unternehmens sowie auch IP-Rechte sorgfältig geprüft werden. Seitens des Unternehmens sind die für die Prüfung erforderlichen Unterlagen bereitzustellen. Die Due</w:t>
            </w:r>
            <w:r w:rsidRPr="00E325A4" w:rsidR="0035721A">
              <w:rPr>
                <w:w w:val="100"/>
                <w:szCs w:val="22"/>
              </w:rPr>
              <w:t>-Diligence-Prüfung wird oft auch gemeinsam mit externen Partnern (z</w:t>
            </w:r>
            <w:r w:rsidRPr="00E325A4" w:rsidR="00503C80">
              <w:rPr>
                <w:w w:val="100"/>
                <w:szCs w:val="22"/>
              </w:rPr>
              <w:t>.</w:t>
            </w:r>
            <w:r w:rsidRPr="00E325A4" w:rsidR="0035721A">
              <w:rPr>
                <w:w w:val="100"/>
                <w:szCs w:val="22"/>
              </w:rPr>
              <w:t>B</w:t>
            </w:r>
            <w:r w:rsidRPr="00E325A4" w:rsidR="00503C80">
              <w:rPr>
                <w:w w:val="100"/>
                <w:szCs w:val="22"/>
              </w:rPr>
              <w:t>.</w:t>
            </w:r>
            <w:r w:rsidRPr="00E325A4" w:rsidR="0035721A">
              <w:rPr>
                <w:w w:val="100"/>
                <w:szCs w:val="22"/>
              </w:rPr>
              <w:t xml:space="preserve"> Steuerberater, Wirtschaftsprüfer, Rechtsanwält</w:t>
            </w:r>
            <w:r w:rsidRPr="00E325A4" w:rsidR="00503C80">
              <w:rPr>
                <w:w w:val="100"/>
                <w:szCs w:val="22"/>
              </w:rPr>
              <w:t xml:space="preserve">e, Patentanwälte) durchgeführt. </w:t>
            </w:r>
            <w:r w:rsidRPr="00E325A4" w:rsidR="0035721A">
              <w:rPr>
                <w:w w:val="100"/>
                <w:szCs w:val="22"/>
              </w:rPr>
              <w:t xml:space="preserve">Die Due-Diligence-Prüfung </w:t>
            </w:r>
            <w:r w:rsidRPr="00E325A4" w:rsidR="003434B2">
              <w:rPr>
                <w:w w:val="100"/>
                <w:szCs w:val="22"/>
              </w:rPr>
              <w:t>ist meist auch mit der Unterzeichnung einer Gehei</w:t>
            </w:r>
            <w:r w:rsidRPr="00E325A4" w:rsidR="00503C80">
              <w:rPr>
                <w:w w:val="100"/>
                <w:szCs w:val="22"/>
              </w:rPr>
              <w:t>mhaltungsvereinbarung verbunden.</w:t>
            </w:r>
          </w:p>
          <w:p w:rsidR="00654CAA" w:rsidRPr="00E325A4" w:rsidP="008E209B" w14:paraId="1A68E8F2" w14:textId="77777777">
            <w:pPr>
              <w:jc w:val="left"/>
              <w:rPr>
                <w:w w:val="100"/>
                <w:szCs w:val="22"/>
              </w:rPr>
            </w:pPr>
          </w:p>
        </w:tc>
      </w:tr>
      <w:tr w14:paraId="54497F08" w14:textId="77777777" w:rsidTr="00E325A4">
        <w:tblPrEx>
          <w:tblW w:w="14596" w:type="dxa"/>
          <w:tblLook w:val="04A0"/>
        </w:tblPrEx>
        <w:trPr>
          <w:cantSplit/>
        </w:trPr>
        <w:tc>
          <w:tcPr>
            <w:tcW w:w="3500" w:type="dxa"/>
          </w:tcPr>
          <w:p w:rsidR="00654CAA" w:rsidRPr="00E325A4" w:rsidP="00903DFE" w14:paraId="0877CE07" w14:textId="77777777">
            <w:pPr>
              <w:jc w:val="left"/>
              <w:rPr>
                <w:b/>
                <w:w w:val="100"/>
                <w:szCs w:val="22"/>
              </w:rPr>
            </w:pPr>
            <w:r w:rsidRPr="00E325A4">
              <w:rPr>
                <w:b/>
                <w:w w:val="100"/>
                <w:szCs w:val="22"/>
              </w:rPr>
              <w:t>Geheimhaltungsvereinbarung (Confidentiality)</w:t>
            </w:r>
          </w:p>
        </w:tc>
        <w:tc>
          <w:tcPr>
            <w:tcW w:w="5112" w:type="dxa"/>
          </w:tcPr>
          <w:p w:rsidR="00654CAA" w:rsidRPr="00E325A4" w:rsidP="00B76AE8" w14:paraId="7727A9DF" w14:textId="77777777">
            <w:pPr>
              <w:jc w:val="left"/>
              <w:rPr>
                <w:w w:val="100"/>
                <w:szCs w:val="22"/>
              </w:rPr>
            </w:pPr>
            <w:r w:rsidRPr="00E325A4">
              <w:rPr>
                <w:w w:val="100"/>
                <w:szCs w:val="22"/>
              </w:rPr>
              <w:t xml:space="preserve">Die </w:t>
            </w:r>
            <w:r w:rsidRPr="00E325A4" w:rsidR="00903DFE">
              <w:rPr>
                <w:w w:val="100"/>
                <w:szCs w:val="22"/>
              </w:rPr>
              <w:t>Geheimhaltungsvereinbarung</w:t>
            </w:r>
            <w:r w:rsidRPr="00E325A4">
              <w:rPr>
                <w:w w:val="100"/>
                <w:szCs w:val="22"/>
              </w:rPr>
              <w:t xml:space="preserve"> wurde am </w:t>
            </w:r>
            <w:r w:rsidRPr="00E325A4" w:rsidR="00903DFE">
              <w:rPr>
                <w:w w:val="100"/>
                <w:szCs w:val="22"/>
              </w:rPr>
              <w:t>10.09.20XX</w:t>
            </w:r>
            <w:r w:rsidRPr="00E325A4" w:rsidR="00F01CE7">
              <w:rPr>
                <w:w w:val="100"/>
                <w:szCs w:val="22"/>
              </w:rPr>
              <w:t xml:space="preserve"> vom Unternehmen und den</w:t>
            </w:r>
            <w:r w:rsidRPr="00E325A4">
              <w:rPr>
                <w:w w:val="100"/>
                <w:szCs w:val="22"/>
              </w:rPr>
              <w:t xml:space="preserve"> Investo</w:t>
            </w:r>
            <w:r w:rsidRPr="00E325A4" w:rsidR="00F01CE7">
              <w:rPr>
                <w:w w:val="100"/>
                <w:szCs w:val="22"/>
              </w:rPr>
              <w:t>ren Investment GmbH und</w:t>
            </w:r>
            <w:r w:rsidRPr="00E325A4" w:rsidR="00903DFE">
              <w:rPr>
                <w:w w:val="100"/>
                <w:szCs w:val="22"/>
              </w:rPr>
              <w:t xml:space="preserve"> WinWin AG</w:t>
            </w:r>
            <w:r w:rsidRPr="00E325A4">
              <w:rPr>
                <w:w w:val="100"/>
                <w:szCs w:val="22"/>
              </w:rPr>
              <w:t xml:space="preserve"> unterzeichnet.</w:t>
            </w:r>
          </w:p>
          <w:p w:rsidR="00B76AE8" w:rsidRPr="00E325A4" w:rsidP="00B76AE8" w14:paraId="47ACCD37" w14:textId="77777777">
            <w:pPr>
              <w:jc w:val="left"/>
              <w:rPr>
                <w:w w:val="100"/>
                <w:szCs w:val="22"/>
              </w:rPr>
            </w:pPr>
          </w:p>
          <w:p w:rsidR="00B76AE8" w:rsidRPr="00E325A4" w:rsidP="00B76AE8" w14:paraId="4B49A4E6" w14:textId="77777777">
            <w:pPr>
              <w:jc w:val="left"/>
              <w:rPr>
                <w:w w:val="100"/>
                <w:szCs w:val="22"/>
              </w:rPr>
            </w:pPr>
          </w:p>
          <w:p w:rsidR="00B76AE8" w:rsidRPr="00E325A4" w:rsidP="00B76AE8" w14:paraId="6347F74D" w14:textId="77777777">
            <w:pPr>
              <w:jc w:val="left"/>
              <w:rPr>
                <w:w w:val="100"/>
                <w:szCs w:val="22"/>
              </w:rPr>
            </w:pPr>
          </w:p>
        </w:tc>
        <w:tc>
          <w:tcPr>
            <w:tcW w:w="5984" w:type="dxa"/>
          </w:tcPr>
          <w:p w:rsidR="00654CAA" w:rsidRPr="00E325A4" w:rsidP="00B76AE8" w14:paraId="5AE72674" w14:textId="77777777">
            <w:pPr>
              <w:jc w:val="left"/>
              <w:rPr>
                <w:w w:val="100"/>
                <w:szCs w:val="22"/>
              </w:rPr>
            </w:pPr>
            <w:r w:rsidRPr="00E325A4">
              <w:rPr>
                <w:w w:val="100"/>
                <w:szCs w:val="22"/>
              </w:rPr>
              <w:t xml:space="preserve">Da das Term Sheet sehr sensible Daten über das Unternehmen beinhaltet, wird zwischen dem Unternehmen und dem Investor vereinbart, dass die Inhalte des Term Sheets und der Stand der laufenden Verhandlungen streng vertraulich zu behandeln sind. Eine Weitergabe </w:t>
            </w:r>
            <w:r w:rsidRPr="00E325A4" w:rsidR="004830A1">
              <w:rPr>
                <w:w w:val="100"/>
                <w:szCs w:val="22"/>
              </w:rPr>
              <w:t xml:space="preserve">des Term Sheets </w:t>
            </w:r>
            <w:r w:rsidRPr="00E325A4">
              <w:rPr>
                <w:w w:val="100"/>
                <w:szCs w:val="22"/>
              </w:rPr>
              <w:t xml:space="preserve">an externe Dritte </w:t>
            </w:r>
            <w:r w:rsidRPr="00E325A4" w:rsidR="004830A1">
              <w:rPr>
                <w:w w:val="100"/>
                <w:szCs w:val="22"/>
              </w:rPr>
              <w:t xml:space="preserve">darf nur dann erfolgen, wenn dies für den Abschluss der Verhandlungen aus rechtlichen, technischen oder finanziellen Aspekten erforderlich ist und diese Personen vertraglich oder berufs- oder standesrechtlich zur Verschwiegenheit verpflichtet sind. </w:t>
            </w:r>
          </w:p>
          <w:p w:rsidR="005C2201" w:rsidRPr="00E325A4" w:rsidP="00B76AE8" w14:paraId="70BB160A" w14:textId="77777777">
            <w:pPr>
              <w:jc w:val="left"/>
              <w:rPr>
                <w:w w:val="100"/>
                <w:szCs w:val="22"/>
              </w:rPr>
            </w:pPr>
          </w:p>
        </w:tc>
      </w:tr>
      <w:tr w14:paraId="7E467EDF" w14:textId="77777777" w:rsidTr="00E325A4">
        <w:tblPrEx>
          <w:tblW w:w="14596" w:type="dxa"/>
          <w:tblLook w:val="04A0"/>
        </w:tblPrEx>
        <w:trPr>
          <w:cantSplit/>
        </w:trPr>
        <w:tc>
          <w:tcPr>
            <w:tcW w:w="3500" w:type="dxa"/>
          </w:tcPr>
          <w:p w:rsidR="005C2201" w:rsidRPr="00E325A4" w:rsidP="00206DF9" w14:paraId="229B4A6C" w14:textId="77777777">
            <w:pPr>
              <w:jc w:val="left"/>
              <w:rPr>
                <w:b/>
                <w:w w:val="100"/>
                <w:szCs w:val="22"/>
                <w:lang w:val="en-GB"/>
              </w:rPr>
            </w:pPr>
            <w:r w:rsidRPr="00E325A4">
              <w:rPr>
                <w:b/>
                <w:w w:val="100"/>
                <w:szCs w:val="22"/>
                <w:lang w:val="en-GB"/>
              </w:rPr>
              <w:t>Haftung</w:t>
            </w:r>
          </w:p>
          <w:p w:rsidR="00AA4CF6" w:rsidRPr="00E325A4" w:rsidP="005C2201" w14:paraId="3A82D605" w14:textId="77777777">
            <w:pPr>
              <w:jc w:val="left"/>
              <w:rPr>
                <w:b/>
                <w:w w:val="100"/>
                <w:szCs w:val="22"/>
              </w:rPr>
            </w:pPr>
            <w:r w:rsidRPr="00E325A4">
              <w:rPr>
                <w:b/>
                <w:w w:val="100"/>
                <w:szCs w:val="22"/>
                <w:lang w:val="en-GB"/>
              </w:rPr>
              <w:t>(Non-Binding-Effect)</w:t>
            </w:r>
          </w:p>
        </w:tc>
        <w:tc>
          <w:tcPr>
            <w:tcW w:w="5112" w:type="dxa"/>
          </w:tcPr>
          <w:p w:rsidR="00AA4CF6" w:rsidRPr="00E325A4" w:rsidP="00B76AE8" w14:paraId="48594DEA" w14:textId="77777777">
            <w:pPr>
              <w:jc w:val="left"/>
              <w:rPr>
                <w:w w:val="100"/>
                <w:szCs w:val="22"/>
              </w:rPr>
            </w:pPr>
            <w:r w:rsidRPr="00E325A4">
              <w:rPr>
                <w:w w:val="100"/>
                <w:szCs w:val="22"/>
              </w:rPr>
              <w:t>Das gegenständliche Term Sheet ist prinzipiell nicht rechtlich bindend.</w:t>
            </w:r>
            <w:r w:rsidRPr="00E325A4" w:rsidR="00F01459">
              <w:rPr>
                <w:w w:val="100"/>
                <w:szCs w:val="22"/>
              </w:rPr>
              <w:t xml:space="preserve"> Sollten die Investorengespräche abgebrochen werden, können weder von Seiten des Investors noch von Seiten des Unternehmens aufgrund des vorliegenden Term Sheet Ansprüche gegenüber der anderen Partei geltend gemacht werden.</w:t>
            </w:r>
          </w:p>
          <w:p w:rsidR="00AA4CF6" w:rsidRPr="00E325A4" w:rsidP="00B76AE8" w14:paraId="250EEA84" w14:textId="77777777">
            <w:pPr>
              <w:jc w:val="left"/>
              <w:rPr>
                <w:w w:val="100"/>
                <w:szCs w:val="22"/>
              </w:rPr>
            </w:pPr>
          </w:p>
          <w:p w:rsidR="00AA4CF6" w:rsidRPr="00E325A4" w:rsidP="00B76AE8" w14:paraId="4847A1FE" w14:textId="77777777">
            <w:pPr>
              <w:jc w:val="left"/>
              <w:rPr>
                <w:w w:val="100"/>
                <w:szCs w:val="22"/>
              </w:rPr>
            </w:pPr>
            <w:r w:rsidRPr="00E325A4">
              <w:rPr>
                <w:w w:val="100"/>
                <w:szCs w:val="22"/>
              </w:rPr>
              <w:t>Ausgenommen vom Grundsatz der Rechtsunverbindlichkeit des gegenständlichen Term Sheets sind die nachfolgend angeführten Bestimmungen</w:t>
            </w:r>
            <w:r w:rsidRPr="00E325A4" w:rsidR="00903DFE">
              <w:rPr>
                <w:w w:val="100"/>
                <w:szCs w:val="22"/>
              </w:rPr>
              <w:t>:</w:t>
            </w:r>
          </w:p>
          <w:p w:rsidR="00F01459" w:rsidRPr="00E325A4" w:rsidP="00B76AE8" w14:paraId="7F1E7785" w14:textId="77777777">
            <w:pPr>
              <w:jc w:val="left"/>
              <w:rPr>
                <w:w w:val="100"/>
                <w:szCs w:val="22"/>
              </w:rPr>
            </w:pPr>
          </w:p>
          <w:p w:rsidR="00F01459" w:rsidRPr="00E325A4" w:rsidP="00F01459" w14:paraId="4EDC18E2" w14:textId="77777777">
            <w:pPr>
              <w:pStyle w:val="ListParagraph"/>
              <w:numPr>
                <w:ilvl w:val="0"/>
                <w:numId w:val="16"/>
              </w:numPr>
              <w:jc w:val="left"/>
              <w:rPr>
                <w:w w:val="100"/>
                <w:szCs w:val="22"/>
              </w:rPr>
            </w:pPr>
            <w:r w:rsidRPr="00E325A4">
              <w:rPr>
                <w:w w:val="100"/>
                <w:szCs w:val="22"/>
              </w:rPr>
              <w:t>Geheimhaltungsvereinbarung</w:t>
            </w:r>
          </w:p>
          <w:p w:rsidR="00AA4CF6" w:rsidRPr="00E325A4" w:rsidP="00AA4CF6" w14:paraId="6CB381C5" w14:textId="77777777">
            <w:pPr>
              <w:pStyle w:val="ListParagraph"/>
              <w:numPr>
                <w:ilvl w:val="0"/>
                <w:numId w:val="16"/>
              </w:numPr>
              <w:jc w:val="left"/>
              <w:rPr>
                <w:w w:val="100"/>
                <w:szCs w:val="22"/>
              </w:rPr>
            </w:pPr>
            <w:r w:rsidRPr="00E325A4">
              <w:rPr>
                <w:w w:val="100"/>
                <w:szCs w:val="22"/>
              </w:rPr>
              <w:t>Rechtswirksamkeit</w:t>
            </w:r>
          </w:p>
          <w:p w:rsidR="005C2201" w:rsidRPr="00E325A4" w:rsidP="005C2201" w14:paraId="3D866372" w14:textId="77777777">
            <w:pPr>
              <w:jc w:val="left"/>
              <w:rPr>
                <w:w w:val="100"/>
                <w:szCs w:val="22"/>
              </w:rPr>
            </w:pPr>
          </w:p>
        </w:tc>
        <w:tc>
          <w:tcPr>
            <w:tcW w:w="5984" w:type="dxa"/>
          </w:tcPr>
          <w:p w:rsidR="00AA4CF6" w:rsidRPr="00E325A4" w:rsidP="00AA4CF6" w14:paraId="67A1D012" w14:textId="77777777">
            <w:pPr>
              <w:jc w:val="left"/>
              <w:rPr>
                <w:w w:val="100"/>
                <w:szCs w:val="22"/>
              </w:rPr>
            </w:pPr>
            <w:r w:rsidRPr="00E325A4">
              <w:rPr>
                <w:w w:val="100"/>
                <w:szCs w:val="22"/>
              </w:rPr>
              <w:t xml:space="preserve">Grundsätzlich stellt das Term Sheet eine unverbindliche Vereinbarung dar, in der die wesentlichen </w:t>
            </w:r>
            <w:r w:rsidRPr="00E325A4" w:rsidR="00F01459">
              <w:rPr>
                <w:w w:val="100"/>
                <w:szCs w:val="22"/>
              </w:rPr>
              <w:t xml:space="preserve">Bedingungen hinsichtlich des geplanten Investments festgelegt werden. </w:t>
            </w:r>
          </w:p>
          <w:p w:rsidR="00F01459" w:rsidRPr="00E325A4" w:rsidP="00AA4CF6" w14:paraId="45B84391" w14:textId="77777777">
            <w:pPr>
              <w:jc w:val="left"/>
              <w:rPr>
                <w:w w:val="100"/>
                <w:szCs w:val="22"/>
              </w:rPr>
            </w:pPr>
          </w:p>
          <w:p w:rsidR="00AA4CF6" w:rsidRPr="00E325A4" w:rsidP="00AA4CF6" w14:paraId="4904E346" w14:textId="77777777">
            <w:pPr>
              <w:jc w:val="left"/>
              <w:rPr>
                <w:w w:val="100"/>
                <w:szCs w:val="22"/>
              </w:rPr>
            </w:pPr>
            <w:r w:rsidRPr="00E325A4">
              <w:rPr>
                <w:w w:val="100"/>
                <w:szCs w:val="22"/>
              </w:rPr>
              <w:t>S</w:t>
            </w:r>
            <w:r w:rsidRPr="00E325A4" w:rsidR="00903DFE">
              <w:rPr>
                <w:w w:val="100"/>
                <w:szCs w:val="22"/>
              </w:rPr>
              <w:t>olange keine Unterzeichnung des Beteiligungsvertrags</w:t>
            </w:r>
            <w:r w:rsidRPr="00E325A4">
              <w:rPr>
                <w:w w:val="100"/>
                <w:szCs w:val="22"/>
              </w:rPr>
              <w:t xml:space="preserve"> erfolgt ist, ist keine der beiden Parteien zur </w:t>
            </w:r>
            <w:r w:rsidRPr="00E325A4" w:rsidR="002D4CC5">
              <w:rPr>
                <w:w w:val="100"/>
                <w:szCs w:val="22"/>
              </w:rPr>
              <w:t>Durchführung</w:t>
            </w:r>
            <w:r w:rsidRPr="00E325A4">
              <w:rPr>
                <w:w w:val="100"/>
                <w:szCs w:val="22"/>
              </w:rPr>
              <w:t xml:space="preserve"> des Investments verpflichtet. </w:t>
            </w:r>
          </w:p>
          <w:p w:rsidR="00AA4CF6" w:rsidRPr="00E325A4" w:rsidP="00AA4CF6" w14:paraId="5B8FC6D9" w14:textId="77777777">
            <w:pPr>
              <w:jc w:val="left"/>
              <w:rPr>
                <w:w w:val="100"/>
                <w:szCs w:val="22"/>
              </w:rPr>
            </w:pPr>
          </w:p>
          <w:p w:rsidR="00AA4CF6" w:rsidRPr="00E325A4" w:rsidP="00AA4CF6" w14:paraId="35CC6B8B" w14:textId="77777777">
            <w:pPr>
              <w:jc w:val="left"/>
              <w:rPr>
                <w:w w:val="100"/>
                <w:szCs w:val="22"/>
              </w:rPr>
            </w:pPr>
          </w:p>
        </w:tc>
      </w:tr>
    </w:tbl>
    <w:p w:rsidR="008E0E5C" w:rsidRPr="00F33F74" w:rsidP="008E209B" w14:paraId="717E26DF" w14:textId="77777777">
      <w:pPr>
        <w:rPr>
          <w:b/>
          <w:w w:val="100"/>
          <w:szCs w:val="22"/>
        </w:rPr>
      </w:pPr>
    </w:p>
    <w:p w:rsidR="00A71924" w:rsidRPr="00E325A4" w:rsidP="008E0E5C" w14:paraId="0FA62E94" w14:textId="77777777">
      <w:pPr>
        <w:rPr>
          <w:b/>
          <w:w w:val="100"/>
          <w:szCs w:val="22"/>
          <w:lang w:val="de-DE"/>
        </w:rPr>
      </w:pPr>
    </w:p>
    <w:p w:rsidR="008E0E5C" w:rsidRPr="00E325A4" w:rsidP="008A713B" w14:paraId="75559717" w14:textId="77777777">
      <w:pPr>
        <w:pStyle w:val="ListParagraph"/>
        <w:numPr>
          <w:ilvl w:val="0"/>
          <w:numId w:val="16"/>
        </w:numPr>
        <w:rPr>
          <w:w w:val="100"/>
          <w:szCs w:val="22"/>
          <w:lang w:val="de-DE"/>
        </w:rPr>
      </w:pPr>
      <w:r w:rsidRPr="00E325A4">
        <w:rPr>
          <w:b/>
          <w:w w:val="100"/>
          <w:szCs w:val="22"/>
          <w:lang w:val="de-DE"/>
        </w:rPr>
        <w:t>Anhang:</w:t>
      </w:r>
      <w:r w:rsidRPr="00E325A4">
        <w:rPr>
          <w:w w:val="100"/>
          <w:szCs w:val="22"/>
          <w:lang w:val="de-DE"/>
        </w:rPr>
        <w:t xml:space="preserve"> Cap Table</w:t>
      </w:r>
    </w:p>
    <w:p w:rsidR="008E0E5C" w:rsidRPr="00E325A4" w:rsidP="008E209B" w14:paraId="6F923774" w14:textId="77777777">
      <w:pPr>
        <w:rPr>
          <w:b/>
          <w:w w:val="100"/>
          <w:szCs w:val="22"/>
          <w:lang w:val="en-US"/>
        </w:rPr>
      </w:pPr>
    </w:p>
    <w:p w:rsidR="008E0E5C" w:rsidRPr="00E325A4" w:rsidP="008E209B" w14:paraId="57663EC5" w14:textId="77777777">
      <w:pPr>
        <w:rPr>
          <w:b/>
          <w:w w:val="100"/>
          <w:szCs w:val="22"/>
          <w:lang w:val="en-US"/>
        </w:rPr>
      </w:pPr>
    </w:p>
    <w:p w:rsidR="008E209B" w:rsidRPr="00E325A4" w:rsidP="008E0E5C" w14:paraId="0882FF7C" w14:textId="77777777">
      <w:pPr>
        <w:spacing w:line="240" w:lineRule="auto"/>
        <w:jc w:val="left"/>
        <w:rPr>
          <w:b/>
          <w:w w:val="100"/>
          <w:szCs w:val="22"/>
          <w:lang w:val="en-US"/>
        </w:rPr>
      </w:pPr>
      <w:r w:rsidRPr="00E325A4">
        <w:rPr>
          <w:b/>
          <w:w w:val="100"/>
          <w:szCs w:val="22"/>
          <w:lang w:val="en-US"/>
        </w:rPr>
        <w:t>Investoren</w:t>
      </w:r>
    </w:p>
    <w:p w:rsidR="008E209B" w:rsidRPr="00E325A4" w:rsidP="008E209B" w14:paraId="248FEB73" w14:textId="77777777">
      <w:pPr>
        <w:rPr>
          <w:w w:val="100"/>
          <w:szCs w:val="22"/>
          <w:lang w:val="en-US"/>
        </w:rPr>
      </w:pPr>
    </w:p>
    <w:tbl>
      <w:tblPr>
        <w:tblW w:w="0" w:type="auto"/>
        <w:jc w:val="center"/>
        <w:tblLook w:val="04A0"/>
      </w:tblPr>
      <w:tblGrid>
        <w:gridCol w:w="4704"/>
        <w:gridCol w:w="4704"/>
      </w:tblGrid>
      <w:tr w14:paraId="2C4409BC" w14:textId="77777777" w:rsidTr="00B27F2E">
        <w:tblPrEx>
          <w:tblW w:w="0" w:type="auto"/>
          <w:jc w:val="center"/>
          <w:tblLook w:val="04A0"/>
        </w:tblPrEx>
        <w:trPr>
          <w:jc w:val="center"/>
        </w:trPr>
        <w:tc>
          <w:tcPr>
            <w:tcW w:w="4704" w:type="dxa"/>
            <w:shd w:val="clear" w:color="auto" w:fill="auto"/>
          </w:tcPr>
          <w:p w:rsidR="008E209B" w:rsidRPr="00E325A4" w:rsidP="008E209B" w14:paraId="4048657B" w14:textId="77777777">
            <w:pPr>
              <w:rPr>
                <w:w w:val="100"/>
                <w:szCs w:val="22"/>
                <w:lang w:val="en-US"/>
              </w:rPr>
            </w:pPr>
          </w:p>
          <w:p w:rsidR="008E209B" w:rsidRPr="00E325A4" w:rsidP="008E209B" w14:paraId="3469FD32" w14:textId="77777777">
            <w:pPr>
              <w:rPr>
                <w:w w:val="100"/>
                <w:szCs w:val="22"/>
              </w:rPr>
            </w:pPr>
            <w:r w:rsidRPr="00E325A4">
              <w:rPr>
                <w:w w:val="100"/>
                <w:szCs w:val="22"/>
              </w:rPr>
              <w:t>_________________, ___/___/________</w:t>
            </w:r>
          </w:p>
          <w:p w:rsidR="008E209B" w:rsidRPr="00E325A4" w:rsidP="008E209B" w14:paraId="61233503" w14:textId="77777777">
            <w:pPr>
              <w:rPr>
                <w:w w:val="100"/>
                <w:szCs w:val="22"/>
              </w:rPr>
            </w:pPr>
            <w:r w:rsidRPr="00E325A4">
              <w:rPr>
                <w:w w:val="100"/>
                <w:szCs w:val="22"/>
              </w:rPr>
              <w:t>Ort, Datum</w:t>
            </w:r>
          </w:p>
          <w:p w:rsidR="008E209B" w:rsidRPr="00E325A4" w:rsidP="008E209B" w14:paraId="1EB5A9BB" w14:textId="77777777">
            <w:pPr>
              <w:rPr>
                <w:w w:val="100"/>
                <w:szCs w:val="22"/>
              </w:rPr>
            </w:pPr>
          </w:p>
          <w:p w:rsidR="008E209B" w:rsidRPr="00E325A4" w:rsidP="008E209B" w14:paraId="3A3D2527" w14:textId="77777777">
            <w:pPr>
              <w:rPr>
                <w:w w:val="100"/>
                <w:szCs w:val="22"/>
              </w:rPr>
            </w:pPr>
          </w:p>
          <w:p w:rsidR="008E209B" w:rsidRPr="00E325A4" w:rsidP="008E209B" w14:paraId="56C7282D" w14:textId="77777777">
            <w:pPr>
              <w:rPr>
                <w:w w:val="100"/>
                <w:szCs w:val="22"/>
                <w:lang w:val="en-US"/>
              </w:rPr>
            </w:pPr>
          </w:p>
          <w:p w:rsidR="008E209B" w:rsidRPr="00E325A4" w:rsidP="008E209B" w14:paraId="315D2C7A" w14:textId="77777777">
            <w:pPr>
              <w:rPr>
                <w:w w:val="100"/>
                <w:szCs w:val="22"/>
                <w:lang w:val="en-US"/>
              </w:rPr>
            </w:pPr>
            <w:r w:rsidRPr="00E325A4">
              <w:rPr>
                <w:w w:val="100"/>
                <w:szCs w:val="22"/>
                <w:lang w:val="en-US"/>
              </w:rPr>
              <w:t>____________________________________</w:t>
            </w:r>
          </w:p>
        </w:tc>
        <w:tc>
          <w:tcPr>
            <w:tcW w:w="4704" w:type="dxa"/>
            <w:shd w:val="clear" w:color="auto" w:fill="auto"/>
          </w:tcPr>
          <w:p w:rsidR="008E209B" w:rsidRPr="00E325A4" w:rsidP="008E209B" w14:paraId="5E800DE6" w14:textId="77777777">
            <w:pPr>
              <w:rPr>
                <w:w w:val="100"/>
                <w:szCs w:val="22"/>
                <w:lang w:val="en-US"/>
              </w:rPr>
            </w:pPr>
          </w:p>
          <w:p w:rsidR="008E209B" w:rsidRPr="00E325A4" w:rsidP="008E209B" w14:paraId="71A218A1" w14:textId="77777777">
            <w:pPr>
              <w:rPr>
                <w:w w:val="100"/>
                <w:szCs w:val="22"/>
              </w:rPr>
            </w:pPr>
            <w:r w:rsidRPr="00E325A4">
              <w:rPr>
                <w:w w:val="100"/>
                <w:szCs w:val="22"/>
              </w:rPr>
              <w:t>_________________, ___/___/________</w:t>
            </w:r>
          </w:p>
          <w:p w:rsidR="008E209B" w:rsidRPr="00E325A4" w:rsidP="008E209B" w14:paraId="7297BDCA" w14:textId="77777777">
            <w:pPr>
              <w:rPr>
                <w:w w:val="100"/>
                <w:szCs w:val="22"/>
              </w:rPr>
            </w:pPr>
            <w:r w:rsidRPr="00E325A4">
              <w:rPr>
                <w:w w:val="100"/>
                <w:szCs w:val="22"/>
              </w:rPr>
              <w:t xml:space="preserve">Ort, Datum </w:t>
            </w:r>
          </w:p>
          <w:p w:rsidR="008E209B" w:rsidRPr="00E325A4" w:rsidP="008E209B" w14:paraId="4258DE67" w14:textId="77777777">
            <w:pPr>
              <w:rPr>
                <w:w w:val="100"/>
                <w:szCs w:val="22"/>
              </w:rPr>
            </w:pPr>
          </w:p>
          <w:p w:rsidR="008E209B" w:rsidRPr="00E325A4" w:rsidP="008E209B" w14:paraId="6658DE2C" w14:textId="77777777">
            <w:pPr>
              <w:rPr>
                <w:w w:val="100"/>
                <w:szCs w:val="22"/>
              </w:rPr>
            </w:pPr>
          </w:p>
          <w:p w:rsidR="008E209B" w:rsidRPr="00E325A4" w:rsidP="008E209B" w14:paraId="7A502622" w14:textId="77777777">
            <w:pPr>
              <w:rPr>
                <w:w w:val="100"/>
                <w:szCs w:val="22"/>
                <w:lang w:val="en-US"/>
              </w:rPr>
            </w:pPr>
          </w:p>
          <w:p w:rsidR="008E209B" w:rsidRPr="00E325A4" w:rsidP="008E209B" w14:paraId="6FD3D29F" w14:textId="77777777">
            <w:pPr>
              <w:rPr>
                <w:w w:val="100"/>
                <w:szCs w:val="22"/>
                <w:lang w:val="en-US"/>
              </w:rPr>
            </w:pPr>
            <w:r w:rsidRPr="00E325A4">
              <w:rPr>
                <w:w w:val="100"/>
                <w:szCs w:val="22"/>
                <w:lang w:val="en-US"/>
              </w:rPr>
              <w:t>____________________________________</w:t>
            </w:r>
          </w:p>
        </w:tc>
      </w:tr>
      <w:tr w14:paraId="25499C92" w14:textId="77777777" w:rsidTr="00B27F2E">
        <w:tblPrEx>
          <w:tblW w:w="0" w:type="auto"/>
          <w:jc w:val="center"/>
          <w:tblLook w:val="04A0"/>
        </w:tblPrEx>
        <w:trPr>
          <w:jc w:val="center"/>
        </w:trPr>
        <w:tc>
          <w:tcPr>
            <w:tcW w:w="4704" w:type="dxa"/>
            <w:shd w:val="clear" w:color="auto" w:fill="auto"/>
          </w:tcPr>
          <w:p w:rsidR="008E209B" w:rsidRPr="00E325A4" w:rsidP="008E209B" w14:paraId="49364165" w14:textId="77777777">
            <w:pPr>
              <w:rPr>
                <w:w w:val="100"/>
                <w:szCs w:val="22"/>
                <w:lang w:val="en-US"/>
              </w:rPr>
            </w:pPr>
            <w:r w:rsidRPr="00E325A4">
              <w:rPr>
                <w:w w:val="100"/>
                <w:szCs w:val="22"/>
              </w:rPr>
              <w:t>Unterschrift</w:t>
            </w:r>
          </w:p>
        </w:tc>
        <w:tc>
          <w:tcPr>
            <w:tcW w:w="4704" w:type="dxa"/>
            <w:shd w:val="clear" w:color="auto" w:fill="auto"/>
          </w:tcPr>
          <w:p w:rsidR="008E209B" w:rsidRPr="00E325A4" w:rsidP="008E209B" w14:paraId="4177A033" w14:textId="77777777">
            <w:pPr>
              <w:rPr>
                <w:w w:val="100"/>
                <w:szCs w:val="22"/>
                <w:lang w:val="en-US"/>
              </w:rPr>
            </w:pPr>
            <w:r w:rsidRPr="00E325A4">
              <w:rPr>
                <w:w w:val="100"/>
                <w:szCs w:val="22"/>
              </w:rPr>
              <w:t>Unterschrift</w:t>
            </w:r>
          </w:p>
        </w:tc>
      </w:tr>
    </w:tbl>
    <w:p w:rsidR="008E209B" w:rsidRPr="00E325A4" w:rsidP="008E209B" w14:paraId="140850ED" w14:textId="77777777">
      <w:pPr>
        <w:rPr>
          <w:b/>
          <w:w w:val="100"/>
          <w:szCs w:val="22"/>
        </w:rPr>
      </w:pPr>
    </w:p>
    <w:p w:rsidR="006632D7" w:rsidRPr="00E325A4" w:rsidP="008E209B" w14:paraId="1E155D4E" w14:textId="77777777">
      <w:pPr>
        <w:rPr>
          <w:b/>
          <w:w w:val="100"/>
          <w:szCs w:val="22"/>
        </w:rPr>
      </w:pPr>
    </w:p>
    <w:p w:rsidR="006632D7" w:rsidRPr="00E325A4" w:rsidP="008E209B" w14:paraId="34A93E92" w14:textId="77777777">
      <w:pPr>
        <w:rPr>
          <w:b/>
          <w:w w:val="100"/>
          <w:szCs w:val="22"/>
        </w:rPr>
      </w:pPr>
    </w:p>
    <w:p w:rsidR="008E209B" w:rsidRPr="00E325A4" w:rsidP="008E209B" w14:paraId="5BD23A95" w14:textId="77777777">
      <w:pPr>
        <w:rPr>
          <w:b/>
          <w:w w:val="100"/>
          <w:szCs w:val="22"/>
        </w:rPr>
      </w:pPr>
      <w:r w:rsidRPr="00E325A4">
        <w:rPr>
          <w:b/>
          <w:w w:val="100"/>
          <w:szCs w:val="22"/>
        </w:rPr>
        <w:t>Gründer</w:t>
      </w:r>
    </w:p>
    <w:p w:rsidR="008E209B" w:rsidRPr="00E325A4" w:rsidP="008E209B" w14:paraId="2B1E5446" w14:textId="77777777">
      <w:pPr>
        <w:rPr>
          <w:w w:val="100"/>
          <w:szCs w:val="22"/>
        </w:rPr>
      </w:pPr>
    </w:p>
    <w:tbl>
      <w:tblPr>
        <w:tblW w:w="0" w:type="auto"/>
        <w:jc w:val="center"/>
        <w:tblLook w:val="04A0"/>
      </w:tblPr>
      <w:tblGrid>
        <w:gridCol w:w="4704"/>
        <w:gridCol w:w="4704"/>
      </w:tblGrid>
      <w:tr w14:paraId="33EDF859" w14:textId="77777777" w:rsidTr="00B27F2E">
        <w:tblPrEx>
          <w:tblW w:w="0" w:type="auto"/>
          <w:jc w:val="center"/>
          <w:tblLook w:val="04A0"/>
        </w:tblPrEx>
        <w:trPr>
          <w:jc w:val="center"/>
        </w:trPr>
        <w:tc>
          <w:tcPr>
            <w:tcW w:w="4704" w:type="dxa"/>
            <w:shd w:val="clear" w:color="auto" w:fill="auto"/>
          </w:tcPr>
          <w:p w:rsidR="008E209B" w:rsidRPr="00E325A4" w:rsidP="008E209B" w14:paraId="4593DBB8" w14:textId="77777777">
            <w:pPr>
              <w:rPr>
                <w:w w:val="100"/>
                <w:szCs w:val="22"/>
              </w:rPr>
            </w:pPr>
          </w:p>
          <w:p w:rsidR="008E209B" w:rsidRPr="00E325A4" w:rsidP="008E209B" w14:paraId="5460F6F6" w14:textId="77777777">
            <w:pPr>
              <w:rPr>
                <w:w w:val="100"/>
                <w:szCs w:val="22"/>
              </w:rPr>
            </w:pPr>
            <w:r w:rsidRPr="00E325A4">
              <w:rPr>
                <w:w w:val="100"/>
                <w:szCs w:val="22"/>
              </w:rPr>
              <w:t xml:space="preserve">  _________________, ___/___/________</w:t>
            </w:r>
          </w:p>
          <w:p w:rsidR="008E209B" w:rsidRPr="00E325A4" w:rsidP="008E209B" w14:paraId="26EF2265" w14:textId="77777777">
            <w:pPr>
              <w:rPr>
                <w:w w:val="100"/>
                <w:szCs w:val="22"/>
              </w:rPr>
            </w:pPr>
            <w:r w:rsidRPr="00E325A4">
              <w:rPr>
                <w:w w:val="100"/>
                <w:szCs w:val="22"/>
              </w:rPr>
              <w:t>Ort, Datum</w:t>
            </w:r>
          </w:p>
          <w:p w:rsidR="008E209B" w:rsidRPr="00E325A4" w:rsidP="008E209B" w14:paraId="3F074D2A" w14:textId="77777777">
            <w:pPr>
              <w:rPr>
                <w:w w:val="100"/>
                <w:szCs w:val="22"/>
              </w:rPr>
            </w:pPr>
          </w:p>
          <w:p w:rsidR="008E209B" w:rsidRPr="00E325A4" w:rsidP="008E209B" w14:paraId="1628213F" w14:textId="77777777">
            <w:pPr>
              <w:rPr>
                <w:w w:val="100"/>
                <w:szCs w:val="22"/>
              </w:rPr>
            </w:pPr>
          </w:p>
          <w:p w:rsidR="008E209B" w:rsidRPr="00E325A4" w:rsidP="008E209B" w14:paraId="1C903153" w14:textId="77777777">
            <w:pPr>
              <w:rPr>
                <w:w w:val="100"/>
                <w:szCs w:val="22"/>
                <w:lang w:val="en-US"/>
              </w:rPr>
            </w:pPr>
          </w:p>
          <w:p w:rsidR="008E209B" w:rsidRPr="00E325A4" w:rsidP="008E209B" w14:paraId="62C102E9" w14:textId="77777777">
            <w:pPr>
              <w:rPr>
                <w:w w:val="100"/>
                <w:szCs w:val="22"/>
                <w:lang w:val="en-US"/>
              </w:rPr>
            </w:pPr>
            <w:r w:rsidRPr="00E325A4">
              <w:rPr>
                <w:w w:val="100"/>
                <w:szCs w:val="22"/>
                <w:lang w:val="en-US"/>
              </w:rPr>
              <w:t>____________________________________</w:t>
            </w:r>
          </w:p>
        </w:tc>
        <w:tc>
          <w:tcPr>
            <w:tcW w:w="4704" w:type="dxa"/>
            <w:shd w:val="clear" w:color="auto" w:fill="auto"/>
          </w:tcPr>
          <w:p w:rsidR="008E209B" w:rsidRPr="00E325A4" w:rsidP="008E209B" w14:paraId="2199829B" w14:textId="77777777">
            <w:pPr>
              <w:rPr>
                <w:w w:val="100"/>
                <w:szCs w:val="22"/>
                <w:lang w:val="en-US"/>
              </w:rPr>
            </w:pPr>
          </w:p>
          <w:p w:rsidR="008E209B" w:rsidRPr="00E325A4" w:rsidP="008E209B" w14:paraId="1934459C" w14:textId="77777777">
            <w:pPr>
              <w:rPr>
                <w:w w:val="100"/>
                <w:szCs w:val="22"/>
              </w:rPr>
            </w:pPr>
            <w:r w:rsidRPr="00E325A4">
              <w:rPr>
                <w:w w:val="100"/>
                <w:szCs w:val="22"/>
              </w:rPr>
              <w:t xml:space="preserve">  _________________, ___/___/________</w:t>
            </w:r>
          </w:p>
          <w:p w:rsidR="008E209B" w:rsidRPr="00E325A4" w:rsidP="008E209B" w14:paraId="055F2839" w14:textId="77777777">
            <w:pPr>
              <w:rPr>
                <w:w w:val="100"/>
                <w:szCs w:val="22"/>
              </w:rPr>
            </w:pPr>
            <w:r w:rsidRPr="00E325A4">
              <w:rPr>
                <w:w w:val="100"/>
                <w:szCs w:val="22"/>
              </w:rPr>
              <w:t>Ort, Datum</w:t>
            </w:r>
          </w:p>
          <w:p w:rsidR="008E209B" w:rsidRPr="00E325A4" w:rsidP="008E209B" w14:paraId="2E96CF2D" w14:textId="77777777">
            <w:pPr>
              <w:rPr>
                <w:w w:val="100"/>
                <w:szCs w:val="22"/>
              </w:rPr>
            </w:pPr>
          </w:p>
          <w:p w:rsidR="008E209B" w:rsidRPr="00E325A4" w:rsidP="008E209B" w14:paraId="6A96BB3A" w14:textId="77777777">
            <w:pPr>
              <w:rPr>
                <w:w w:val="100"/>
                <w:szCs w:val="22"/>
              </w:rPr>
            </w:pPr>
          </w:p>
          <w:p w:rsidR="008E209B" w:rsidRPr="00E325A4" w:rsidP="008E209B" w14:paraId="33997DA8" w14:textId="77777777">
            <w:pPr>
              <w:rPr>
                <w:w w:val="100"/>
                <w:szCs w:val="22"/>
                <w:lang w:val="en-US"/>
              </w:rPr>
            </w:pPr>
          </w:p>
          <w:p w:rsidR="008E209B" w:rsidRPr="00E325A4" w:rsidP="008E209B" w14:paraId="22766ADA" w14:textId="77777777">
            <w:pPr>
              <w:rPr>
                <w:w w:val="100"/>
                <w:szCs w:val="22"/>
                <w:lang w:val="en-US"/>
              </w:rPr>
            </w:pPr>
            <w:r w:rsidRPr="00E325A4">
              <w:rPr>
                <w:w w:val="100"/>
                <w:szCs w:val="22"/>
                <w:lang w:val="en-US"/>
              </w:rPr>
              <w:t>____________________________________</w:t>
            </w:r>
          </w:p>
        </w:tc>
      </w:tr>
      <w:tr w14:paraId="74F7C7B8" w14:textId="77777777" w:rsidTr="00B27F2E">
        <w:tblPrEx>
          <w:tblW w:w="0" w:type="auto"/>
          <w:jc w:val="center"/>
          <w:tblLook w:val="04A0"/>
        </w:tblPrEx>
        <w:trPr>
          <w:jc w:val="center"/>
        </w:trPr>
        <w:tc>
          <w:tcPr>
            <w:tcW w:w="4704" w:type="dxa"/>
            <w:shd w:val="clear" w:color="auto" w:fill="auto"/>
          </w:tcPr>
          <w:p w:rsidR="008E209B" w:rsidRPr="00E325A4" w:rsidP="008E209B" w14:paraId="4B5D4F4A" w14:textId="77777777">
            <w:pPr>
              <w:rPr>
                <w:w w:val="100"/>
                <w:szCs w:val="22"/>
              </w:rPr>
            </w:pPr>
            <w:r w:rsidRPr="00E325A4">
              <w:rPr>
                <w:w w:val="100"/>
                <w:szCs w:val="22"/>
              </w:rPr>
              <w:t>Unterschrift</w:t>
            </w:r>
          </w:p>
        </w:tc>
        <w:tc>
          <w:tcPr>
            <w:tcW w:w="4704" w:type="dxa"/>
            <w:shd w:val="clear" w:color="auto" w:fill="auto"/>
          </w:tcPr>
          <w:p w:rsidR="008E209B" w:rsidRPr="00E325A4" w:rsidP="008E209B" w14:paraId="55B7A55F" w14:textId="77777777">
            <w:pPr>
              <w:rPr>
                <w:w w:val="100"/>
                <w:szCs w:val="22"/>
              </w:rPr>
            </w:pPr>
            <w:r w:rsidRPr="00E325A4">
              <w:rPr>
                <w:w w:val="100"/>
                <w:szCs w:val="22"/>
              </w:rPr>
              <w:t xml:space="preserve">Unterschrift </w:t>
            </w:r>
          </w:p>
          <w:p w:rsidR="008E209B" w:rsidRPr="00E325A4" w:rsidP="008E209B" w14:paraId="014FFF0A" w14:textId="77777777">
            <w:pPr>
              <w:rPr>
                <w:w w:val="100"/>
                <w:szCs w:val="22"/>
                <w:lang w:val="en-US"/>
              </w:rPr>
            </w:pPr>
          </w:p>
        </w:tc>
      </w:tr>
      <w:tr w14:paraId="0FDCCF4E" w14:textId="77777777" w:rsidTr="00B27F2E">
        <w:tblPrEx>
          <w:tblW w:w="0" w:type="auto"/>
          <w:jc w:val="center"/>
          <w:tblLook w:val="04A0"/>
        </w:tblPrEx>
        <w:trPr>
          <w:jc w:val="center"/>
        </w:trPr>
        <w:tc>
          <w:tcPr>
            <w:tcW w:w="4704" w:type="dxa"/>
            <w:shd w:val="clear" w:color="auto" w:fill="auto"/>
          </w:tcPr>
          <w:p w:rsidR="00F23978" w:rsidRPr="00E325A4" w:rsidP="008E209B" w14:paraId="60B5DAAC" w14:textId="77777777">
            <w:pPr>
              <w:rPr>
                <w:w w:val="100"/>
                <w:szCs w:val="22"/>
              </w:rPr>
            </w:pPr>
          </w:p>
        </w:tc>
        <w:tc>
          <w:tcPr>
            <w:tcW w:w="4704" w:type="dxa"/>
            <w:shd w:val="clear" w:color="auto" w:fill="auto"/>
          </w:tcPr>
          <w:p w:rsidR="00F23978" w:rsidRPr="00E325A4" w:rsidP="008E209B" w14:paraId="3B92F564" w14:textId="77777777">
            <w:pPr>
              <w:rPr>
                <w:w w:val="100"/>
                <w:szCs w:val="22"/>
              </w:rPr>
            </w:pPr>
          </w:p>
        </w:tc>
      </w:tr>
    </w:tbl>
    <w:p w:rsidR="00F23978" w:rsidRPr="00E325A4" w:rsidP="00903DFE" w14:paraId="25098BE0" w14:textId="77777777">
      <w:pPr>
        <w:rPr>
          <w:w w:val="100"/>
          <w:szCs w:val="22"/>
          <w:lang w:val="de-DE"/>
        </w:rPr>
      </w:pPr>
    </w:p>
    <w:p w:rsidR="008E0E5C" w:rsidRPr="00E325A4" w:rsidP="00903DFE" w14:paraId="7A47CE1D" w14:textId="77777777">
      <w:pPr>
        <w:rPr>
          <w:w w:val="100"/>
          <w:szCs w:val="22"/>
          <w:lang w:val="de-DE"/>
        </w:rPr>
      </w:pPr>
    </w:p>
    <w:p w:rsidR="00E325A4" w:rsidRPr="00E325A4" w14:paraId="2FBB2227" w14:textId="77777777">
      <w:pPr>
        <w:rPr>
          <w:w w:val="100"/>
          <w:szCs w:val="22"/>
          <w:lang w:val="de-DE"/>
        </w:rPr>
      </w:pPr>
    </w:p>
    <w:sectPr w:rsidSect="00E325A4">
      <w:headerReference w:type="default" r:id="rId4"/>
      <w:footerReference w:type="default" r:id="rId5"/>
      <w:pgSz w:w="16838" w:h="11906" w:orient="landscape"/>
      <w:pgMar w:top="1417" w:right="1417" w:bottom="851" w:left="1134" w:header="426" w:footer="44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SFG">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w w:val="100"/>
        <w:sz w:val="20"/>
        <w:szCs w:val="20"/>
      </w:rPr>
      <w:id w:val="789163359"/>
      <w:docPartObj>
        <w:docPartGallery w:val="Page Numbers (Bottom of Page)"/>
        <w:docPartUnique/>
      </w:docPartObj>
    </w:sdtPr>
    <w:sdtContent>
      <w:sdt>
        <w:sdtPr>
          <w:rPr>
            <w:w w:val="100"/>
            <w:sz w:val="20"/>
            <w:szCs w:val="20"/>
          </w:rPr>
          <w:id w:val="-1769616900"/>
          <w:docPartObj>
            <w:docPartGallery w:val="Page Numbers (Top of Page)"/>
            <w:docPartUnique/>
          </w:docPartObj>
        </w:sdtPr>
        <w:sdtContent>
          <w:p w:rsidR="008A015C" w:rsidRPr="00F33F74" w:rsidP="00E325A4" w14:paraId="145E6F34" w14:textId="77777777">
            <w:pPr>
              <w:pStyle w:val="Footer"/>
              <w:tabs>
                <w:tab w:val="clear" w:pos="4536"/>
                <w:tab w:val="center" w:pos="6946"/>
                <w:tab w:val="clear" w:pos="9072"/>
                <w:tab w:val="right" w:pos="14287"/>
              </w:tabs>
              <w:jc w:val="left"/>
              <w:rPr>
                <w:w w:val="100"/>
                <w:sz w:val="20"/>
                <w:szCs w:val="20"/>
              </w:rPr>
            </w:pPr>
            <w:r w:rsidRPr="00F33F74">
              <w:rPr>
                <w:w w:val="100"/>
                <w:sz w:val="20"/>
                <w:szCs w:val="20"/>
              </w:rPr>
              <w:t>Unterliegt in gedruckter Form nicht dem Änderungsdienst.</w:t>
            </w:r>
            <w:r w:rsidRPr="00F33F74">
              <w:rPr>
                <w:w w:val="100"/>
                <w:sz w:val="20"/>
                <w:szCs w:val="20"/>
              </w:rPr>
              <w:tab/>
            </w:r>
            <w:r w:rsidRPr="00F33F74">
              <w:rPr>
                <w:w w:val="100"/>
                <w:sz w:val="20"/>
                <w:szCs w:val="20"/>
              </w:rPr>
              <w:tab/>
            </w:r>
            <w:r w:rsidRPr="00F33F74">
              <w:rPr>
                <w:w w:val="100"/>
                <w:sz w:val="20"/>
                <w:szCs w:val="20"/>
                <w:lang w:val="de-DE"/>
              </w:rPr>
              <w:t xml:space="preserve">Seite </w:t>
            </w:r>
            <w:r w:rsidRPr="00F33F74">
              <w:rPr>
                <w:bCs/>
                <w:w w:val="100"/>
                <w:sz w:val="20"/>
                <w:szCs w:val="20"/>
              </w:rPr>
              <w:fldChar w:fldCharType="begin"/>
            </w:r>
            <w:r w:rsidRPr="00F33F74">
              <w:rPr>
                <w:bCs/>
                <w:w w:val="100"/>
                <w:sz w:val="20"/>
                <w:szCs w:val="20"/>
              </w:rPr>
              <w:instrText>PAGE</w:instrText>
            </w:r>
            <w:r w:rsidRPr="00F33F74">
              <w:rPr>
                <w:bCs/>
                <w:w w:val="100"/>
                <w:sz w:val="20"/>
                <w:szCs w:val="20"/>
              </w:rPr>
              <w:fldChar w:fldCharType="separate"/>
            </w:r>
            <w:r w:rsidRPr="00F33F74">
              <w:rPr>
                <w:bCs/>
                <w:w w:val="100"/>
                <w:sz w:val="20"/>
                <w:szCs w:val="20"/>
              </w:rPr>
              <w:t>12</w:t>
            </w:r>
            <w:r w:rsidRPr="00F33F74">
              <w:rPr>
                <w:bCs/>
                <w:w w:val="100"/>
                <w:sz w:val="20"/>
                <w:szCs w:val="20"/>
              </w:rPr>
              <w:fldChar w:fldCharType="end"/>
            </w:r>
            <w:r w:rsidRPr="00F33F74">
              <w:rPr>
                <w:w w:val="100"/>
                <w:sz w:val="20"/>
                <w:szCs w:val="20"/>
                <w:lang w:val="de-DE"/>
              </w:rPr>
              <w:t xml:space="preserve"> von </w:t>
            </w:r>
            <w:r w:rsidRPr="00F33F74">
              <w:rPr>
                <w:bCs/>
                <w:w w:val="100"/>
                <w:sz w:val="20"/>
                <w:szCs w:val="20"/>
              </w:rPr>
              <w:fldChar w:fldCharType="begin"/>
            </w:r>
            <w:r w:rsidRPr="00F33F74">
              <w:rPr>
                <w:bCs/>
                <w:w w:val="100"/>
                <w:sz w:val="20"/>
                <w:szCs w:val="20"/>
              </w:rPr>
              <w:instrText>NUMPAGES</w:instrText>
            </w:r>
            <w:r w:rsidRPr="00F33F74">
              <w:rPr>
                <w:bCs/>
                <w:w w:val="100"/>
                <w:sz w:val="20"/>
                <w:szCs w:val="20"/>
              </w:rPr>
              <w:fldChar w:fldCharType="separate"/>
            </w:r>
            <w:r w:rsidRPr="00F33F74">
              <w:rPr>
                <w:bCs/>
                <w:w w:val="100"/>
                <w:sz w:val="20"/>
                <w:szCs w:val="20"/>
              </w:rPr>
              <w:t>12</w:t>
            </w:r>
            <w:r w:rsidRPr="00F33F74">
              <w:rPr>
                <w:bCs/>
                <w:w w:val="100"/>
                <w:sz w:val="20"/>
                <w:szCs w:val="20"/>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14601" w:type="dxa"/>
      <w:tblLayout w:type="fixed"/>
      <w:tblCellMar>
        <w:left w:w="70" w:type="dxa"/>
        <w:right w:w="70" w:type="dxa"/>
      </w:tblCellMar>
      <w:tblLook w:val="0000"/>
    </w:tblPr>
    <w:tblGrid>
      <w:gridCol w:w="2197"/>
      <w:gridCol w:w="2835"/>
      <w:gridCol w:w="708"/>
      <w:gridCol w:w="1277"/>
      <w:gridCol w:w="7584"/>
    </w:tblGrid>
    <w:tr w14:paraId="3CE42BC5" w14:textId="77777777" w:rsidTr="00E325A4">
      <w:tblPrEx>
        <w:tblW w:w="14601" w:type="dxa"/>
        <w:tblLayout w:type="fixed"/>
        <w:tblCellMar>
          <w:left w:w="70" w:type="dxa"/>
          <w:right w:w="70" w:type="dxa"/>
        </w:tblCellMar>
        <w:tblLook w:val="0000"/>
      </w:tblPrEx>
      <w:trPr>
        <w:cantSplit/>
        <w:trHeight w:val="993"/>
      </w:trPr>
      <w:tc>
        <w:tcPr>
          <w:tcW w:w="5740" w:type="dxa"/>
          <w:gridSpan w:val="3"/>
          <w:tcBorders>
            <w:bottom w:val="single" w:sz="6" w:space="0" w:color="auto"/>
          </w:tcBorders>
          <w:vAlign w:val="center"/>
        </w:tcPr>
        <w:p w:rsidR="00E325A4" w:rsidRPr="00C33807" w:rsidP="00E325A4" w14:paraId="69C9182B" w14:textId="77777777">
          <w:pPr>
            <w:spacing w:line="240" w:lineRule="auto"/>
            <w:jc w:val="left"/>
            <w:rPr>
              <w:sz w:val="20"/>
              <w:szCs w:val="20"/>
            </w:rPr>
          </w:pPr>
        </w:p>
      </w:tc>
      <w:tc>
        <w:tcPr>
          <w:tcW w:w="8861" w:type="dxa"/>
          <w:gridSpan w:val="2"/>
          <w:tcBorders>
            <w:bottom w:val="single" w:sz="6" w:space="0" w:color="auto"/>
          </w:tcBorders>
          <w:vAlign w:val="center"/>
        </w:tcPr>
        <w:p w:rsidR="00E325A4" w:rsidRPr="00C33807" w:rsidP="00E325A4" w14:paraId="62B10A47" w14:textId="77777777">
          <w:pPr>
            <w:pStyle w:val="Header"/>
            <w:spacing w:before="220" w:after="220"/>
            <w:rPr>
              <w:b/>
              <w:sz w:val="20"/>
            </w:rPr>
          </w:pPr>
          <w:r w:rsidRPr="00C33807">
            <w:rPr>
              <w:noProof/>
              <w:szCs w:val="22"/>
              <w:lang w:val="de-DE" w:eastAsia="de-DE"/>
            </w:rPr>
            <w:drawing>
              <wp:anchor distT="0" distB="0" distL="114300" distR="114300" simplePos="0" relativeHeight="251658240" behindDoc="1" locked="0" layoutInCell="1" allowOverlap="1">
                <wp:simplePos x="0" y="0"/>
                <wp:positionH relativeFrom="column">
                  <wp:posOffset>3917315</wp:posOffset>
                </wp:positionH>
                <wp:positionV relativeFrom="paragraph">
                  <wp:posOffset>-84455</wp:posOffset>
                </wp:positionV>
                <wp:extent cx="1799590" cy="560705"/>
                <wp:effectExtent l="0" t="0" r="0" b="0"/>
                <wp:wrapTight wrapText="bothSides">
                  <wp:wrapPolygon>
                    <wp:start x="0" y="0"/>
                    <wp:lineTo x="0" y="20548"/>
                    <wp:lineTo x="19893" y="20548"/>
                    <wp:lineTo x="21265" y="8072"/>
                    <wp:lineTo x="21265" y="5871"/>
                    <wp:lineTo x="19893"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 1" descr="http://www.sfg.at/downloads/img/89872_SFGLogo4cLandesratrgb.jpg"/>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99590" cy="560705"/>
                        </a:xfrm>
                        <a:prstGeom prst="rect">
                          <a:avLst/>
                        </a:prstGeom>
                        <a:noFill/>
                      </pic:spPr>
                    </pic:pic>
                  </a:graphicData>
                </a:graphic>
                <wp14:sizeRelH relativeFrom="page">
                  <wp14:pctWidth>0</wp14:pctWidth>
                </wp14:sizeRelH>
                <wp14:sizeRelV relativeFrom="page">
                  <wp14:pctHeight>0</wp14:pctHeight>
                </wp14:sizeRelV>
              </wp:anchor>
            </w:drawing>
          </w:r>
        </w:p>
      </w:tc>
    </w:tr>
    <w:tr w14:paraId="00292A9E" w14:textId="77777777" w:rsidTr="00E325A4">
      <w:tblPrEx>
        <w:tblW w:w="14601" w:type="dxa"/>
        <w:tblLayout w:type="fixed"/>
        <w:tblCellMar>
          <w:left w:w="70" w:type="dxa"/>
          <w:right w:w="70" w:type="dxa"/>
        </w:tblCellMar>
        <w:tblLook w:val="0000"/>
      </w:tblPrEx>
      <w:trPr>
        <w:cantSplit/>
      </w:trPr>
      <w:tc>
        <w:tcPr>
          <w:tcW w:w="2197" w:type="dxa"/>
          <w:tcBorders>
            <w:top w:val="single" w:sz="6" w:space="0" w:color="auto"/>
            <w:left w:val="single" w:sz="6" w:space="0" w:color="auto"/>
            <w:bottom w:val="single" w:sz="6" w:space="0" w:color="auto"/>
            <w:right w:val="single" w:sz="6" w:space="0" w:color="auto"/>
          </w:tcBorders>
          <w:vAlign w:val="center"/>
        </w:tcPr>
        <w:p w:rsidR="00E325A4" w:rsidRPr="00E325A4" w:rsidP="00E325A4" w14:paraId="18700693" w14:textId="77777777">
          <w:pPr>
            <w:pStyle w:val="Header"/>
            <w:rPr>
              <w:b/>
              <w:w w:val="100"/>
              <w:sz w:val="20"/>
            </w:rPr>
          </w:pPr>
          <w:r w:rsidRPr="00E325A4">
            <w:rPr>
              <w:b/>
              <w:w w:val="100"/>
              <w:sz w:val="20"/>
            </w:rPr>
            <w:t>Dokument:</w:t>
          </w:r>
        </w:p>
      </w:tc>
      <w:tc>
        <w:tcPr>
          <w:tcW w:w="12404" w:type="dxa"/>
          <w:gridSpan w:val="4"/>
          <w:tcBorders>
            <w:top w:val="single" w:sz="6" w:space="0" w:color="auto"/>
            <w:left w:val="single" w:sz="6" w:space="0" w:color="auto"/>
            <w:bottom w:val="single" w:sz="6" w:space="0" w:color="auto"/>
            <w:right w:val="single" w:sz="6" w:space="0" w:color="auto"/>
          </w:tcBorders>
          <w:vAlign w:val="center"/>
        </w:tcPr>
        <w:p w:rsidR="00E325A4" w:rsidRPr="00F33F74" w:rsidP="00E325A4" w14:paraId="1CB8FF5C" w14:textId="77777777">
          <w:pPr>
            <w:pStyle w:val="Header"/>
            <w:rPr>
              <w:w w:val="100"/>
              <w:sz w:val="20"/>
              <w:lang w:val="en-GB"/>
            </w:rPr>
          </w:pPr>
          <w:r w:rsidRPr="00E325A4">
            <w:rPr>
              <w:w w:val="100"/>
              <w:sz w:val="20"/>
            </w:rPr>
            <w:fldChar w:fldCharType="begin"/>
          </w:r>
          <w:r w:rsidRPr="00F33F74">
            <w:rPr>
              <w:w w:val="100"/>
              <w:sz w:val="20"/>
              <w:lang w:val="en-GB"/>
            </w:rPr>
            <w:instrText xml:space="preserve"> DOCPROPERTY rox_Kennung \* MERGEFORMAT </w:instrText>
          </w:r>
          <w:r w:rsidRPr="00E325A4">
            <w:rPr>
              <w:w w:val="100"/>
              <w:sz w:val="20"/>
            </w:rPr>
            <w:fldChar w:fldCharType="separate"/>
          </w:r>
          <w:r w:rsidRPr="00F33F74">
            <w:rPr>
              <w:w w:val="100"/>
              <w:sz w:val="20"/>
              <w:lang w:val="en-GB"/>
            </w:rPr>
            <w:t>09_VL_026_Term Sheet_Start!Klar plus</w:t>
          </w:r>
          <w:r w:rsidRPr="00E325A4">
            <w:rPr>
              <w:w w:val="100"/>
              <w:sz w:val="20"/>
            </w:rPr>
            <w:fldChar w:fldCharType="end"/>
          </w:r>
        </w:p>
      </w:tc>
    </w:tr>
    <w:tr w14:paraId="711E2F8F" w14:textId="77777777" w:rsidTr="00E325A4">
      <w:tblPrEx>
        <w:tblW w:w="14601" w:type="dxa"/>
        <w:tblLayout w:type="fixed"/>
        <w:tblCellMar>
          <w:left w:w="70" w:type="dxa"/>
          <w:right w:w="70" w:type="dxa"/>
        </w:tblCellMar>
        <w:tblLook w:val="0000"/>
      </w:tblPrEx>
      <w:trPr>
        <w:cantSplit/>
      </w:trPr>
      <w:tc>
        <w:tcPr>
          <w:tcW w:w="2197" w:type="dxa"/>
          <w:tcBorders>
            <w:top w:val="single" w:sz="6" w:space="0" w:color="auto"/>
            <w:left w:val="single" w:sz="6" w:space="0" w:color="auto"/>
            <w:bottom w:val="single" w:sz="6" w:space="0" w:color="auto"/>
            <w:right w:val="single" w:sz="6" w:space="0" w:color="auto"/>
          </w:tcBorders>
          <w:vAlign w:val="center"/>
        </w:tcPr>
        <w:p w:rsidR="00E325A4" w:rsidRPr="00E325A4" w:rsidP="00E325A4" w14:paraId="465499BC" w14:textId="77777777">
          <w:pPr>
            <w:pStyle w:val="Header"/>
            <w:rPr>
              <w:b/>
              <w:w w:val="100"/>
              <w:sz w:val="20"/>
            </w:rPr>
          </w:pPr>
          <w:r w:rsidRPr="00E325A4">
            <w:rPr>
              <w:b/>
              <w:w w:val="100"/>
              <w:sz w:val="20"/>
            </w:rPr>
            <w:t>Revision:</w:t>
          </w:r>
        </w:p>
      </w:tc>
      <w:tc>
        <w:tcPr>
          <w:tcW w:w="2835" w:type="dxa"/>
          <w:tcBorders>
            <w:top w:val="single" w:sz="6" w:space="0" w:color="auto"/>
            <w:left w:val="single" w:sz="6" w:space="0" w:color="auto"/>
            <w:bottom w:val="single" w:sz="6" w:space="0" w:color="auto"/>
            <w:right w:val="single" w:sz="6" w:space="0" w:color="auto"/>
          </w:tcBorders>
          <w:vAlign w:val="center"/>
        </w:tcPr>
        <w:p w:rsidR="00E325A4" w:rsidRPr="00E325A4" w:rsidP="00E325A4" w14:paraId="369A8CD4" w14:textId="77777777">
          <w:pPr>
            <w:pStyle w:val="Header"/>
            <w:rPr>
              <w:w w:val="100"/>
              <w:sz w:val="20"/>
            </w:rPr>
          </w:pPr>
          <w:r w:rsidRPr="00E325A4">
            <w:rPr>
              <w:w w:val="100"/>
              <w:sz w:val="20"/>
            </w:rPr>
            <w:fldChar w:fldCharType="begin"/>
          </w:r>
          <w:r w:rsidRPr="00E325A4">
            <w:rPr>
              <w:w w:val="100"/>
              <w:sz w:val="20"/>
            </w:rPr>
            <w:instrText xml:space="preserve"> DOCPROPERTY rox_Revision \* MERGEFORMAT </w:instrText>
          </w:r>
          <w:r w:rsidRPr="00E325A4">
            <w:rPr>
              <w:w w:val="100"/>
              <w:sz w:val="20"/>
            </w:rPr>
            <w:fldChar w:fldCharType="separate"/>
          </w:r>
          <w:r w:rsidRPr="00E325A4">
            <w:rPr>
              <w:w w:val="100"/>
              <w:sz w:val="20"/>
            </w:rPr>
            <w:t>002/06.2024</w:t>
          </w:r>
          <w:r w:rsidRPr="00E325A4">
            <w:rPr>
              <w:w w:val="100"/>
              <w:sz w:val="20"/>
            </w:rPr>
            <w:fldChar w:fldCharType="end"/>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E325A4" w:rsidRPr="00E325A4" w:rsidP="00E325A4" w14:paraId="62196679" w14:textId="0D383D4E">
          <w:pPr>
            <w:pStyle w:val="Header"/>
            <w:rPr>
              <w:b/>
              <w:w w:val="100"/>
              <w:sz w:val="20"/>
            </w:rPr>
          </w:pPr>
          <w:r>
            <w:rPr>
              <w:b/>
              <w:w w:val="100"/>
              <w:sz w:val="20"/>
            </w:rPr>
            <w:t>Gültig ab:</w:t>
          </w:r>
        </w:p>
      </w:tc>
      <w:tc>
        <w:tcPr>
          <w:tcW w:w="7584" w:type="dxa"/>
          <w:tcBorders>
            <w:top w:val="single" w:sz="6" w:space="0" w:color="auto"/>
            <w:left w:val="single" w:sz="6" w:space="0" w:color="auto"/>
            <w:bottom w:val="single" w:sz="6" w:space="0" w:color="auto"/>
            <w:right w:val="single" w:sz="6" w:space="0" w:color="auto"/>
          </w:tcBorders>
          <w:vAlign w:val="center"/>
        </w:tcPr>
        <w:p w:rsidR="00E325A4" w:rsidRPr="00E325A4" w:rsidP="00E325A4" w14:paraId="037D1869" w14:textId="77777777">
          <w:pPr>
            <w:pStyle w:val="Header"/>
            <w:rPr>
              <w:w w:val="100"/>
              <w:sz w:val="20"/>
            </w:rPr>
          </w:pPr>
          <w:r w:rsidRPr="00E325A4">
            <w:rPr>
              <w:w w:val="100"/>
              <w:sz w:val="20"/>
            </w:rPr>
            <w:fldChar w:fldCharType="begin"/>
          </w:r>
          <w:r w:rsidRPr="00E325A4">
            <w:rPr>
              <w:w w:val="100"/>
              <w:sz w:val="20"/>
            </w:rPr>
            <w:instrText xml:space="preserve"> DOCPROPERTY rox_step_freigabe_d \* MERGEFORMAT </w:instrText>
          </w:r>
          <w:r>
            <w:rPr>
              <w:w w:val="100"/>
              <w:sz w:val="20"/>
            </w:rPr>
            <w:fldChar w:fldCharType="separate"/>
          </w:r>
          <w:r w:rsidRPr="00E325A4">
            <w:rPr>
              <w:w w:val="100"/>
              <w:sz w:val="20"/>
            </w:rPr>
            <w:t>10.06.2024</w:t>
          </w:r>
          <w:r w:rsidRPr="00E325A4">
            <w:rPr>
              <w:w w:val="100"/>
              <w:sz w:val="20"/>
            </w:rPr>
            <w:fldChar w:fldCharType="end"/>
          </w:r>
        </w:p>
      </w:tc>
    </w:tr>
  </w:tbl>
  <w:p w:rsidR="00E325A4" w14:paraId="2E1382B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E3366"/>
    <w:multiLevelType w:val="hybridMultilevel"/>
    <w:tmpl w:val="EA4C2E3A"/>
    <w:lvl w:ilvl="0">
      <w:start w:val="14"/>
      <w:numFmt w:val="bullet"/>
      <w:lvlText w:val="-"/>
      <w:lvlJc w:val="left"/>
      <w:pPr>
        <w:ind w:left="720" w:hanging="360"/>
      </w:pPr>
      <w:rPr>
        <w:rFonts w:ascii="Tahoma" w:eastAsia="Times New Roman" w:hAnsi="Tahoma"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6209E7"/>
    <w:multiLevelType w:val="multilevel"/>
    <w:tmpl w:val="861421D0"/>
    <w:styleLink w:val="SFG-Listen-Formatvorlage"/>
    <w:lvl w:ilvl="0">
      <w:start w:val="1"/>
      <w:numFmt w:val="bullet"/>
      <w:lvlText w:val="&gt;"/>
      <w:lvlJc w:val="left"/>
      <w:pPr>
        <w:ind w:left="720" w:hanging="360"/>
      </w:pPr>
      <w:rPr>
        <w:rFonts w:ascii="Tahoma" w:hAnsi="Tahoma"/>
        <w:b w:val="0"/>
        <w:i w:val="0"/>
        <w:w w:val="96"/>
        <w:kern w:val="0"/>
        <w:sz w:val="22"/>
      </w:rPr>
    </w:lvl>
    <w:lvl w:ilvl="1">
      <w:start w:val="1"/>
      <w:numFmt w:val="bullet"/>
      <w:lvlText w:val=""/>
      <w:lvlJc w:val="left"/>
      <w:pPr>
        <w:ind w:left="1440" w:hanging="360"/>
      </w:pPr>
      <w:rPr>
        <w:rFonts w:ascii="Symbol" w:hAnsi="Symbol"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880" w:hanging="360"/>
      </w:pPr>
      <w:rPr>
        <w:rFonts w:ascii="Tahoma" w:hAnsi="Tahoma"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394D6F"/>
    <w:multiLevelType w:val="hybridMultilevel"/>
    <w:tmpl w:val="D8B05D7E"/>
    <w:lvl w:ilvl="0">
      <w:start w:val="1"/>
      <w:numFmt w:val="bullet"/>
      <w:lvlText w:val="¿"/>
      <w:lvlJc w:val="left"/>
      <w:pPr>
        <w:ind w:left="1080" w:hanging="360"/>
      </w:pPr>
      <w:rPr>
        <w:rFonts w:ascii="Arial SFG" w:hAnsi="Arial SFG"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5A83344"/>
    <w:multiLevelType w:val="multilevel"/>
    <w:tmpl w:val="E2D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9938EC"/>
    <w:multiLevelType w:val="multilevel"/>
    <w:tmpl w:val="01A6A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CE13B70"/>
    <w:multiLevelType w:val="hybridMultilevel"/>
    <w:tmpl w:val="861421D0"/>
    <w:lvl w:ilvl="0">
      <w:start w:val="1"/>
      <w:numFmt w:val="bullet"/>
      <w:lvlText w:val="¿"/>
      <w:lvlJc w:val="left"/>
      <w:pPr>
        <w:ind w:left="720" w:hanging="360"/>
      </w:pPr>
      <w:rPr>
        <w:rFonts w:ascii="Arial SFG" w:hAnsi="Arial SFG"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26E4AAD"/>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E1D794D"/>
    <w:multiLevelType w:val="hybridMultilevel"/>
    <w:tmpl w:val="A92A1FB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2BF23E3"/>
    <w:multiLevelType w:val="hybridMultilevel"/>
    <w:tmpl w:val="F5E62494"/>
    <w:lvl w:ilvl="0">
      <w:start w:val="1"/>
      <w:numFmt w:val="bullet"/>
      <w:lvlText w:val="¿"/>
      <w:lvlJc w:val="left"/>
      <w:pPr>
        <w:ind w:left="1080" w:hanging="360"/>
      </w:pPr>
      <w:rPr>
        <w:rFonts w:ascii="Arial SFG" w:hAnsi="Arial SFG"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40172EE"/>
    <w:multiLevelType w:val="hybridMultilevel"/>
    <w:tmpl w:val="708C21EA"/>
    <w:lvl w:ilvl="0">
      <w:start w:val="0"/>
      <w:numFmt w:val="bullet"/>
      <w:lvlText w:val="-"/>
      <w:lvlJc w:val="left"/>
      <w:pPr>
        <w:ind w:left="720" w:hanging="360"/>
      </w:pPr>
      <w:rPr>
        <w:rFonts w:ascii="Tahoma" w:eastAsia="Times New Roman" w:hAnsi="Tahoma"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B3665E"/>
    <w:multiLevelType w:val="hybridMultilevel"/>
    <w:tmpl w:val="EE4C676C"/>
    <w:lvl w:ilvl="0">
      <w:start w:val="1"/>
      <w:numFmt w:val="bullet"/>
      <w:lvlText w:val="¿"/>
      <w:lvlJc w:val="left"/>
      <w:pPr>
        <w:ind w:left="720" w:hanging="360"/>
      </w:pPr>
      <w:rPr>
        <w:rFonts w:ascii="Arial SFG" w:hAnsi="Arial SFG"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B64715"/>
    <w:multiLevelType w:val="hybridMultilevel"/>
    <w:tmpl w:val="4A9CB76E"/>
    <w:lvl w:ilvl="0">
      <w:start w:val="1"/>
      <w:numFmt w:val="bullet"/>
      <w:lvlText w:val="¿"/>
      <w:lvlJc w:val="left"/>
      <w:pPr>
        <w:ind w:left="1080" w:hanging="360"/>
      </w:pPr>
      <w:rPr>
        <w:rFonts w:ascii="Arial SFG" w:hAnsi="Arial SFG"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EBD4F73"/>
    <w:multiLevelType w:val="hybridMultilevel"/>
    <w:tmpl w:val="A1CCB0AA"/>
    <w:lvl w:ilvl="0">
      <w:start w:val="14"/>
      <w:numFmt w:val="bullet"/>
      <w:lvlText w:val="-"/>
      <w:lvlJc w:val="left"/>
      <w:pPr>
        <w:ind w:left="720" w:hanging="360"/>
      </w:pPr>
      <w:rPr>
        <w:rFonts w:ascii="Tahoma" w:eastAsia="Times New Roman" w:hAnsi="Tahoma"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2D84132"/>
    <w:multiLevelType w:val="multilevel"/>
    <w:tmpl w:val="861421D0"/>
    <w:numStyleLink w:val="SFG-Listen-Formatvorlage"/>
  </w:abstractNum>
  <w:abstractNum w:abstractNumId="14">
    <w:nsid w:val="6F8635A4"/>
    <w:multiLevelType w:val="multilevel"/>
    <w:tmpl w:val="861421D0"/>
    <w:numStyleLink w:val="SFG-Listen-Formatvorlage"/>
  </w:abstractNum>
  <w:abstractNum w:abstractNumId="15">
    <w:nsid w:val="7D3D50E5"/>
    <w:multiLevelType w:val="hybridMultilevel"/>
    <w:tmpl w:val="32903BC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EEE5585"/>
    <w:multiLevelType w:val="multilevel"/>
    <w:tmpl w:val="E018A386"/>
    <w:lvl w:ilvl="0">
      <w:start w:val="1"/>
      <w:numFmt w:val="bullet"/>
      <w:lvlText w:val="►"/>
      <w:lvlJc w:val="left"/>
      <w:pPr>
        <w:ind w:left="720" w:hanging="360"/>
      </w:pPr>
      <w:rPr>
        <w:rFonts w:ascii="Arial SFG" w:hAnsi="Arial SFG"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3318398">
    <w:abstractNumId w:val="10"/>
  </w:num>
  <w:num w:numId="2" w16cid:durableId="257519204">
    <w:abstractNumId w:val="8"/>
  </w:num>
  <w:num w:numId="3" w16cid:durableId="1811631288">
    <w:abstractNumId w:val="7"/>
  </w:num>
  <w:num w:numId="4" w16cid:durableId="1541938623">
    <w:abstractNumId w:val="2"/>
  </w:num>
  <w:num w:numId="5" w16cid:durableId="383647756">
    <w:abstractNumId w:val="11"/>
  </w:num>
  <w:num w:numId="6" w16cid:durableId="415637507">
    <w:abstractNumId w:val="5"/>
  </w:num>
  <w:num w:numId="7" w16cid:durableId="590553435">
    <w:abstractNumId w:val="16"/>
  </w:num>
  <w:num w:numId="8" w16cid:durableId="1642728784">
    <w:abstractNumId w:val="1"/>
  </w:num>
  <w:num w:numId="9" w16cid:durableId="1679308798">
    <w:abstractNumId w:val="13"/>
  </w:num>
  <w:num w:numId="10" w16cid:durableId="1926105902">
    <w:abstractNumId w:val="6"/>
  </w:num>
  <w:num w:numId="11" w16cid:durableId="1099910979">
    <w:abstractNumId w:val="14"/>
  </w:num>
  <w:num w:numId="12" w16cid:durableId="2107604624">
    <w:abstractNumId w:val="1"/>
  </w:num>
  <w:num w:numId="13" w16cid:durableId="129446568">
    <w:abstractNumId w:val="12"/>
  </w:num>
  <w:num w:numId="14" w16cid:durableId="1355956957">
    <w:abstractNumId w:val="15"/>
  </w:num>
  <w:num w:numId="15" w16cid:durableId="131362169">
    <w:abstractNumId w:val="3"/>
  </w:num>
  <w:num w:numId="16" w16cid:durableId="1648896870">
    <w:abstractNumId w:val="9"/>
  </w:num>
  <w:num w:numId="17" w16cid:durableId="1204058125">
    <w:abstractNumId w:val="4"/>
  </w:num>
  <w:num w:numId="18" w16cid:durableId="142117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D4"/>
    <w:rsid w:val="000041DD"/>
    <w:rsid w:val="0000458C"/>
    <w:rsid w:val="0000484B"/>
    <w:rsid w:val="00023C51"/>
    <w:rsid w:val="000402E2"/>
    <w:rsid w:val="000973D4"/>
    <w:rsid w:val="000B3CD5"/>
    <w:rsid w:val="000D4BEF"/>
    <w:rsid w:val="0014756E"/>
    <w:rsid w:val="00150655"/>
    <w:rsid w:val="001553B2"/>
    <w:rsid w:val="00171382"/>
    <w:rsid w:val="00176A39"/>
    <w:rsid w:val="00192918"/>
    <w:rsid w:val="00197FF5"/>
    <w:rsid w:val="00206DF9"/>
    <w:rsid w:val="002331FC"/>
    <w:rsid w:val="002400B0"/>
    <w:rsid w:val="00255FE6"/>
    <w:rsid w:val="002603D1"/>
    <w:rsid w:val="0026711B"/>
    <w:rsid w:val="002A2A6E"/>
    <w:rsid w:val="002D4CC5"/>
    <w:rsid w:val="002E3CC3"/>
    <w:rsid w:val="00324DA1"/>
    <w:rsid w:val="003250D9"/>
    <w:rsid w:val="00326D2B"/>
    <w:rsid w:val="003434B2"/>
    <w:rsid w:val="0035721A"/>
    <w:rsid w:val="00385C22"/>
    <w:rsid w:val="00393296"/>
    <w:rsid w:val="003967FD"/>
    <w:rsid w:val="003A0696"/>
    <w:rsid w:val="003A2888"/>
    <w:rsid w:val="003E13F3"/>
    <w:rsid w:val="00402027"/>
    <w:rsid w:val="00445142"/>
    <w:rsid w:val="00450AC0"/>
    <w:rsid w:val="004830A1"/>
    <w:rsid w:val="004979D3"/>
    <w:rsid w:val="004B4E1F"/>
    <w:rsid w:val="004D1F62"/>
    <w:rsid w:val="004E6D95"/>
    <w:rsid w:val="00503C80"/>
    <w:rsid w:val="0055240D"/>
    <w:rsid w:val="00566699"/>
    <w:rsid w:val="00591543"/>
    <w:rsid w:val="005932C3"/>
    <w:rsid w:val="005A6CB9"/>
    <w:rsid w:val="005B22F5"/>
    <w:rsid w:val="005C2201"/>
    <w:rsid w:val="005C5778"/>
    <w:rsid w:val="005D1F86"/>
    <w:rsid w:val="005E1A4C"/>
    <w:rsid w:val="005E6EFB"/>
    <w:rsid w:val="006032A4"/>
    <w:rsid w:val="006224BE"/>
    <w:rsid w:val="00622ADC"/>
    <w:rsid w:val="00646770"/>
    <w:rsid w:val="00654CAA"/>
    <w:rsid w:val="006632D7"/>
    <w:rsid w:val="00693AC2"/>
    <w:rsid w:val="006B06CF"/>
    <w:rsid w:val="006B764E"/>
    <w:rsid w:val="006C64FF"/>
    <w:rsid w:val="006E5F71"/>
    <w:rsid w:val="006F4779"/>
    <w:rsid w:val="00702E3E"/>
    <w:rsid w:val="00717844"/>
    <w:rsid w:val="0072396F"/>
    <w:rsid w:val="00755D37"/>
    <w:rsid w:val="00764243"/>
    <w:rsid w:val="00790901"/>
    <w:rsid w:val="007A631D"/>
    <w:rsid w:val="007C6034"/>
    <w:rsid w:val="007E0589"/>
    <w:rsid w:val="007E1956"/>
    <w:rsid w:val="0081662D"/>
    <w:rsid w:val="008213AD"/>
    <w:rsid w:val="008370F3"/>
    <w:rsid w:val="00856D33"/>
    <w:rsid w:val="0088346E"/>
    <w:rsid w:val="00884FD2"/>
    <w:rsid w:val="00895E87"/>
    <w:rsid w:val="008A015C"/>
    <w:rsid w:val="008A713B"/>
    <w:rsid w:val="008E0E5C"/>
    <w:rsid w:val="008E209B"/>
    <w:rsid w:val="00903DFE"/>
    <w:rsid w:val="00907CFC"/>
    <w:rsid w:val="0091537E"/>
    <w:rsid w:val="0091680D"/>
    <w:rsid w:val="00917986"/>
    <w:rsid w:val="0099698A"/>
    <w:rsid w:val="009E4FD1"/>
    <w:rsid w:val="00A12737"/>
    <w:rsid w:val="00A31DDA"/>
    <w:rsid w:val="00A54C88"/>
    <w:rsid w:val="00A70A83"/>
    <w:rsid w:val="00A71924"/>
    <w:rsid w:val="00A837E3"/>
    <w:rsid w:val="00A925C5"/>
    <w:rsid w:val="00AA4CF6"/>
    <w:rsid w:val="00AC5446"/>
    <w:rsid w:val="00AF77D2"/>
    <w:rsid w:val="00B04B28"/>
    <w:rsid w:val="00B2343D"/>
    <w:rsid w:val="00B76AE8"/>
    <w:rsid w:val="00BA753D"/>
    <w:rsid w:val="00BD16D8"/>
    <w:rsid w:val="00BD1F36"/>
    <w:rsid w:val="00C01638"/>
    <w:rsid w:val="00C33807"/>
    <w:rsid w:val="00CB551D"/>
    <w:rsid w:val="00CC2492"/>
    <w:rsid w:val="00D02B6E"/>
    <w:rsid w:val="00D3173C"/>
    <w:rsid w:val="00D36FC9"/>
    <w:rsid w:val="00D42D2F"/>
    <w:rsid w:val="00DA28BF"/>
    <w:rsid w:val="00DB5341"/>
    <w:rsid w:val="00DD0390"/>
    <w:rsid w:val="00DD2F58"/>
    <w:rsid w:val="00DF6DBE"/>
    <w:rsid w:val="00E325A4"/>
    <w:rsid w:val="00E463F7"/>
    <w:rsid w:val="00E87573"/>
    <w:rsid w:val="00E92492"/>
    <w:rsid w:val="00EC486B"/>
    <w:rsid w:val="00ED5158"/>
    <w:rsid w:val="00F01459"/>
    <w:rsid w:val="00F01CE7"/>
    <w:rsid w:val="00F23978"/>
    <w:rsid w:val="00F26AE7"/>
    <w:rsid w:val="00F33F74"/>
    <w:rsid w:val="00F42773"/>
    <w:rsid w:val="00F4609D"/>
    <w:rsid w:val="00F51FEF"/>
    <w:rsid w:val="00F64DD3"/>
    <w:rsid w:val="00F81463"/>
    <w:rsid w:val="00F93F24"/>
    <w:rsid w:val="00FA60D0"/>
    <w:rsid w:val="00FC3E8E"/>
    <w:rsid w:val="00FD2507"/>
    <w:rsid w:val="00FD5D15"/>
    <w:rsid w:val="00FE30BD"/>
    <w:rsid w:val="00FF3486"/>
  </w:rsids>
  <w:docVars>
    <w:docVar w:name="rox_step_vks" w:val="-"/>
  </w:docVars>
  <m:mathPr>
    <m:mathFont m:val="Cambria Math"/>
  </m:mathPr>
  <w:themeFontLang w:val="de-AT"/>
  <w:clrSchemeMapping w:bg1="light1" w:t1="dark1" w:bg2="light2" w:t2="dark2" w:accent1="accent1" w:accent2="accent2" w:accent3="accent3" w:accent4="accent4" w:accent5="accent5" w:accent6="accent6" w:hyperlink="hyperlink" w:followedHyperlink="followedHyperlink"/>
  <w:doNotIncludeSubdocsInStats/>
  <w14:docId w14:val="7FEB17DF"/>
  <w15:chartTrackingRefBased/>
  <w15:docId w15:val="{505FB6CA-9663-4A60-A92A-FEBA66E6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ahoma"/>
        <w:w w:val="96"/>
        <w:sz w:val="22"/>
        <w:szCs w:val="24"/>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699"/>
    <w:pPr>
      <w:spacing w:line="280" w:lineRule="atLeas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AC0"/>
    <w:pPr>
      <w:ind w:left="720"/>
      <w:contextualSpacing/>
    </w:pPr>
  </w:style>
  <w:style w:type="numbering" w:customStyle="1" w:styleId="SFG-Listen-Formatvorlage">
    <w:name w:val="SFG-Listen-Formatvorlage"/>
    <w:uiPriority w:val="99"/>
    <w:rsid w:val="00A70A83"/>
    <w:pPr>
      <w:numPr>
        <w:numId w:val="8"/>
      </w:numPr>
    </w:pPr>
  </w:style>
  <w:style w:type="table" w:styleId="TableGrid">
    <w:name w:val="Table Grid"/>
    <w:basedOn w:val="TableNormal"/>
    <w:uiPriority w:val="59"/>
    <w:rsid w:val="00097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VorformatiertZchn"/>
    <w:uiPriority w:val="99"/>
    <w:semiHidden/>
    <w:unhideWhenUsed/>
    <w:rsid w:val="008370F3"/>
    <w:pPr>
      <w:spacing w:line="240" w:lineRule="auto"/>
    </w:pPr>
    <w:rPr>
      <w:rFonts w:ascii="Consolas" w:hAnsi="Consolas"/>
      <w:sz w:val="20"/>
      <w:szCs w:val="20"/>
    </w:rPr>
  </w:style>
  <w:style w:type="character" w:customStyle="1" w:styleId="HTMLVorformatiertZchn">
    <w:name w:val="HTML Vorformatiert Zchn"/>
    <w:basedOn w:val="DefaultParagraphFont"/>
    <w:link w:val="HTMLPreformatted"/>
    <w:uiPriority w:val="99"/>
    <w:semiHidden/>
    <w:rsid w:val="008370F3"/>
    <w:rPr>
      <w:rFonts w:ascii="Consolas" w:hAnsi="Consolas"/>
      <w:sz w:val="20"/>
      <w:szCs w:val="20"/>
    </w:rPr>
  </w:style>
  <w:style w:type="paragraph" w:styleId="Header">
    <w:name w:val="header"/>
    <w:basedOn w:val="Normal"/>
    <w:link w:val="KopfzeileZchn"/>
    <w:unhideWhenUsed/>
    <w:rsid w:val="008A015C"/>
    <w:pPr>
      <w:tabs>
        <w:tab w:val="center" w:pos="4536"/>
        <w:tab w:val="right" w:pos="9072"/>
      </w:tabs>
      <w:spacing w:line="240" w:lineRule="auto"/>
    </w:pPr>
  </w:style>
  <w:style w:type="character" w:customStyle="1" w:styleId="KopfzeileZchn">
    <w:name w:val="Kopfzeile Zchn"/>
    <w:basedOn w:val="DefaultParagraphFont"/>
    <w:link w:val="Header"/>
    <w:uiPriority w:val="99"/>
    <w:rsid w:val="008A015C"/>
  </w:style>
  <w:style w:type="paragraph" w:styleId="Footer">
    <w:name w:val="footer"/>
    <w:basedOn w:val="Normal"/>
    <w:link w:val="FuzeileZchn"/>
    <w:uiPriority w:val="99"/>
    <w:unhideWhenUsed/>
    <w:rsid w:val="008A015C"/>
    <w:pPr>
      <w:tabs>
        <w:tab w:val="center" w:pos="4536"/>
        <w:tab w:val="right" w:pos="9072"/>
      </w:tabs>
      <w:spacing w:line="240" w:lineRule="auto"/>
    </w:pPr>
  </w:style>
  <w:style w:type="character" w:customStyle="1" w:styleId="FuzeileZchn">
    <w:name w:val="Fußzeile Zchn"/>
    <w:basedOn w:val="DefaultParagraphFont"/>
    <w:link w:val="Footer"/>
    <w:uiPriority w:val="99"/>
    <w:rsid w:val="008A015C"/>
  </w:style>
  <w:style w:type="paragraph" w:styleId="NormalWeb">
    <w:name w:val="Normal (Web)"/>
    <w:basedOn w:val="Normal"/>
    <w:uiPriority w:val="99"/>
    <w:semiHidden/>
    <w:unhideWhenUsed/>
    <w:rsid w:val="008E209B"/>
    <w:pPr>
      <w:spacing w:before="100" w:beforeAutospacing="1" w:after="100" w:afterAutospacing="1" w:line="240" w:lineRule="auto"/>
      <w:jc w:val="left"/>
    </w:pPr>
    <w:rPr>
      <w:rFonts w:ascii="Times New Roman" w:hAnsi="Times New Roman" w:cs="Times New Roman"/>
      <w:w w:val="100"/>
      <w:sz w:val="24"/>
      <w:lang w:val="de-DE" w:eastAsia="de-DE"/>
    </w:rPr>
  </w:style>
  <w:style w:type="character" w:customStyle="1" w:styleId="Flietext2">
    <w:name w:val="Fließtext (2)"/>
    <w:basedOn w:val="DefaultParagraphFont"/>
    <w:rsid w:val="00AA4CF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de-DE" w:eastAsia="de-DE" w:bidi="de-DE"/>
    </w:rPr>
  </w:style>
  <w:style w:type="paragraph" w:customStyle="1" w:styleId="Default">
    <w:name w:val="Default"/>
    <w:rsid w:val="00790901"/>
    <w:pPr>
      <w:autoSpaceDE w:val="0"/>
      <w:autoSpaceDN w:val="0"/>
      <w:adjustRightInd w:val="0"/>
    </w:pPr>
    <w:rPr>
      <w:rFonts w:ascii="Verdana" w:hAnsi="Verdana" w:cs="Verdana"/>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1847</Words>
  <Characters>11641</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Steirische Wirtschaftsförderungs GmbH</Company>
  <LinksUpToDate>false</LinksUpToDate>
  <CharactersWithSpaces>13462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09_VL_026_Term Sheet_Start!Klar plus</dc:title>
  <dc:creator>Deutsch Katharina</dc:creator>
  <cp:lastModifiedBy>Steinberger Stefanie</cp:lastModifiedBy>
  <cp:revision>3</cp:revision>
  <dcterms:created xsi:type="dcterms:W3CDTF">2021-03-02T06:58:00Z</dcterms:created>
  <dcterms:modified xsi:type="dcterms:W3CDTF">2024-05-28T08:54:00Z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lternativeGueltigkeit">
    <vt:lpwstr/>
  </property>
  <property fmtid="{D5CDD505-2E9C-101B-9397-08002B2CF9AE}" pid="3" name="rox_CreatedAt">
    <vt:lpwstr>Steinberger, Stefanie</vt:lpwstr>
  </property>
  <property fmtid="{D5CDD505-2E9C-101B-9397-08002B2CF9AE}" pid="4" name="rox_CreatedBy">
    <vt:lpwstr>03.03.2021</vt:lpwstr>
  </property>
  <property fmtid="{D5CDD505-2E9C-101B-9397-08002B2CF9AE}" pid="5" name="rox_Description">
    <vt:lpwstr/>
  </property>
  <property fmtid="{D5CDD505-2E9C-101B-9397-08002B2CF9AE}" pid="6" name="rox_DesignVerant">
    <vt:lpwstr>Steiner, Erich</vt:lpwstr>
  </property>
  <property fmtid="{D5CDD505-2E9C-101B-9397-08002B2CF9AE}" pid="7" name="rox_DesignVerant_SelKey">
    <vt:lpwstr>Steiner, Erich</vt:lpwstr>
  </property>
  <property fmtid="{D5CDD505-2E9C-101B-9397-08002B2CF9AE}" pid="8" name="rox_DocPath">
    <vt:lpwstr>Dokumente/Prozesslandkarte/09 Förderungsaktionen entwickeln, Unternehmen beraten und Förderungsprojekte bearbeiten/04 Abrechnun</vt:lpwstr>
  </property>
  <property fmtid="{D5CDD505-2E9C-101B-9397-08002B2CF9AE}" pid="9" name="rox_DocPath_2">
    <vt:lpwstr>g von Förderungen/Vorlagen/</vt:lpwstr>
  </property>
  <property fmtid="{D5CDD505-2E9C-101B-9397-08002B2CF9AE}" pid="10" name="rox_DocType">
    <vt:lpwstr>Vorlage (VL)</vt:lpwstr>
  </property>
  <property fmtid="{D5CDD505-2E9C-101B-9397-08002B2CF9AE}" pid="11" name="rox_ErgVerant">
    <vt:lpwstr>Steiner, Erich</vt:lpwstr>
  </property>
  <property fmtid="{D5CDD505-2E9C-101B-9397-08002B2CF9AE}" pid="12" name="rox_ErgVerant_SelKey">
    <vt:lpwstr>Steiner, Erich</vt:lpwstr>
  </property>
  <property fmtid="{D5CDD505-2E9C-101B-9397-08002B2CF9AE}" pid="13" name="rox_FileName">
    <vt:lpwstr>09_VL_026_Term Sheet_Start!Klar plus.docx</vt:lpwstr>
  </property>
  <property fmtid="{D5CDD505-2E9C-101B-9397-08002B2CF9AE}" pid="14" name="rox_FreigabedatumVB">
    <vt:lpwstr/>
  </property>
  <property fmtid="{D5CDD505-2E9C-101B-9397-08002B2CF9AE}" pid="15" name="rox_ID">
    <vt:lpwstr>30613</vt:lpwstr>
  </property>
  <property fmtid="{D5CDD505-2E9C-101B-9397-08002B2CF9AE}" pid="16" name="rox_Kennung">
    <vt:lpwstr>09_VL_026_Term Sheet_Start!Klar plus</vt:lpwstr>
  </property>
  <property fmtid="{D5CDD505-2E9C-101B-9397-08002B2CF9AE}" pid="17" name="rox_Meta">
    <vt:lpwstr>33</vt:lpwstr>
  </property>
  <property fmtid="{D5CDD505-2E9C-101B-9397-08002B2CF9AE}" pid="18" name="rox_Meta0">
    <vt:lpwstr>&lt;fields&gt;&lt;Field id="rox_Size" caption="Dateigröße" orderid="2" /&gt;&lt;Field id="rox_ID" caption="ID" orderid="33" /&gt;&lt;Field id="rox_T</vt:lpwstr>
  </property>
  <property fmtid="{D5CDD505-2E9C-101B-9397-08002B2CF9AE}" pid="19" name="rox_Meta1">
    <vt:lpwstr>itle" caption="Titel" orderid="0" /&gt;&lt;Field id="rox_Status" caption="Status" orderid="3" /&gt;&lt;Field id="rox_Revision" caption="Rev</vt:lpwstr>
  </property>
  <property fmtid="{D5CDD505-2E9C-101B-9397-08002B2CF9AE}" pid="20" name="rox_Meta10">
    <vt:lpwstr>" orderid="9" /&gt;&lt;Field id="rox_Versionsinformationen" caption="Versionsinformationen" orderid="11" /&gt;&lt;Field id="rox_Versionsinf</vt:lpwstr>
  </property>
  <property fmtid="{D5CDD505-2E9C-101B-9397-08002B2CF9AE}" pid="21" name="rox_Meta11">
    <vt:lpwstr>ormationen_2" caption="Versionsinformationen_2" orderid="37" /&gt;&lt;Field id="rox_Versionsinformationen_3" caption="Versionsinforma</vt:lpwstr>
  </property>
  <property fmtid="{D5CDD505-2E9C-101B-9397-08002B2CF9AE}" pid="22" name="rox_Meta12">
    <vt:lpwstr>tionen_3" orderid="38" /&gt;&lt;Field id="rox_Versionsinformationen_4" caption="Versionsinformationen_4" orderid="39" /&gt;&lt;Field id="ro</vt:lpwstr>
  </property>
  <property fmtid="{D5CDD505-2E9C-101B-9397-08002B2CF9AE}" pid="23" name="rox_Meta13">
    <vt:lpwstr>x_Versionsinformationen_5" caption="Versionsinformationen_5" orderid="40" /&gt;&lt;Field id="rox_Versionsinformationen_6" caption="Ve</vt:lpwstr>
  </property>
  <property fmtid="{D5CDD505-2E9C-101B-9397-08002B2CF9AE}" pid="24" name="rox_Meta14">
    <vt:lpwstr>rsionsinformationen_6" orderid="41" /&gt;&lt;Field id="rox_Versionsinformationen_7" caption="Versionsinformationen_7" orderid="42" /&gt;</vt:lpwstr>
  </property>
  <property fmtid="{D5CDD505-2E9C-101B-9397-08002B2CF9AE}" pid="25" name="rox_Meta15">
    <vt:lpwstr>&lt;Field id="rox_Versionsinformationen_8" caption="Versionsinformationen_8" orderid="43" /&gt;&lt;Field id="rox_Wiedervorlage" caption=</vt:lpwstr>
  </property>
  <property fmtid="{D5CDD505-2E9C-101B-9397-08002B2CF9AE}" pid="26" name="rox_Meta16">
    <vt:lpwstr>"Wiedervorlage" orderid="14" /&gt;&lt;Field id="rox_DesignVerant" caption="Designverantwortlicher" orderid="15" /&gt;&lt;Field id="rox_Desi</vt:lpwstr>
  </property>
  <property fmtid="{D5CDD505-2E9C-101B-9397-08002B2CF9AE}" pid="27" name="rox_Meta17">
    <vt:lpwstr>gnVerant_SelKey" caption="Designverantwortlicher (Designverantwortlicher )" orderid="44" /&gt;&lt;Field id="rox_ErgVerant" caption="E</vt:lpwstr>
  </property>
  <property fmtid="{D5CDD505-2E9C-101B-9397-08002B2CF9AE}" pid="28" name="rox_Meta18">
    <vt:lpwstr>rgebnisverantwortlicher" orderid="16" /&gt;&lt;Field id="rox_ErgVerant_SelKey" caption="Ergebnisverantwortlicher (Ergebnisverantwortl</vt:lpwstr>
  </property>
  <property fmtid="{D5CDD505-2E9C-101B-9397-08002B2CF9AE}" pid="29" name="rox_Meta19">
    <vt:lpwstr>icher)" orderid="45" /&gt;&lt;Field id="rox_Kennung" caption="Kennung" orderid="17" /&gt;&lt;Field id="rox_step_letztepruefung_u" caption="</vt:lpwstr>
  </property>
  <property fmtid="{D5CDD505-2E9C-101B-9397-08002B2CF9AE}" pid="30" name="rox_Meta2">
    <vt:lpwstr>ision" orderid="4" /&gt;&lt;Field id="rox_Description" caption="Beschreibung" orderid="10" /&gt;&lt;Field id="rox_DocType" caption="Dokumen</vt:lpwstr>
  </property>
  <property fmtid="{D5CDD505-2E9C-101B-9397-08002B2CF9AE}" pid="31" name="rox_Meta20">
    <vt:lpwstr>1.Freigegeben von" orderid="23" /&gt;&lt;Field id="rox_step_letztepruefung_d" caption="1.Freigegeben" orderid="24" /&gt;&lt;Field id="rox_s</vt:lpwstr>
  </property>
  <property fmtid="{D5CDD505-2E9C-101B-9397-08002B2CF9AE}" pid="32" name="rox_Meta21">
    <vt:lpwstr>tep_vks_d" caption="Letzte VKS am" orderid="25" /&gt;&lt;Field id="rox_step_vks_u" caption="Letzter VKS-Verantwortlicher" orderid="26</vt:lpwstr>
  </property>
  <property fmtid="{D5CDD505-2E9C-101B-9397-08002B2CF9AE}" pid="33" name="rox_Meta22">
    <vt:lpwstr>" /&gt;&lt;Field id="rox_step_vks" caption="VKS-Verantwortliche" type="roleconcat" orderid="27"&gt;-&lt;/Field&gt;&lt;Field id="rox_step_freigabe</vt:lpwstr>
  </property>
  <property fmtid="{D5CDD505-2E9C-101B-9397-08002B2CF9AE}" pid="34" name="rox_Meta23">
    <vt:lpwstr>_u" caption="2.Freigegeben von" orderid="28" /&gt;&lt;Field id="rox_step_freigabe_d" caption="2.Freigegeben" orderid="29" /&gt;&lt;Field id</vt:lpwstr>
  </property>
  <property fmtid="{D5CDD505-2E9C-101B-9397-08002B2CF9AE}" pid="35" name="rox_Meta24">
    <vt:lpwstr>="rox_RoleV" caption="Rolle: Verantwortlicher" orderid="46" /&gt;&lt;Field id="rox_RoleB" caption="Rolle: Ersteller (E)" orderid="47</vt:lpwstr>
  </property>
  <property fmtid="{D5CDD505-2E9C-101B-9397-08002B2CF9AE}" pid="36" name="rox_Meta25">
    <vt:lpwstr>" /&gt;&lt;Field id="rox_RoleP" caption="Rolle: 1.Freigeber" orderid="48" /&gt;&lt;Field id="rox_RoleK" caption="Rolle: VKS-Verantwortliche</vt:lpwstr>
  </property>
  <property fmtid="{D5CDD505-2E9C-101B-9397-08002B2CF9AE}" pid="37" name="rox_Meta26">
    <vt:lpwstr>r" orderid="49" /&gt;&lt;Field id="rox_RoleF" caption="Rolle: 2.Freigeber" orderid="50" /&gt;&lt;Field id="rox_RoleE" caption="Rolle: Empfä</vt:lpwstr>
  </property>
  <property fmtid="{D5CDD505-2E9C-101B-9397-08002B2CF9AE}" pid="38" name="rox_Meta27">
    <vt:lpwstr>nger" orderid="51" /&gt;&lt;Field id="rox_RoleG" caption="Rolle: Empfänger (ohne Lesebestätigung)" orderid="52" /&gt;&lt;Field id="rox_Refe</vt:lpwstr>
  </property>
  <property fmtid="{D5CDD505-2E9C-101B-9397-08002B2CF9AE}" pid="39" name="rox_Meta28">
    <vt:lpwstr>rencesTo" caption="Referenzen auf" type="RefTo" url="https://roxtra.sfg.at/roxtra" colcount="1" orderid="53" /&gt;&lt;GlobalFieldHand</vt:lpwstr>
  </property>
  <property fmtid="{D5CDD505-2E9C-101B-9397-08002B2CF9AE}" pid="40" name="rox_Meta29">
    <vt:lpwstr>ler url="https://roxtra.sfg.at/roxtra/doc/DownloadGlobalFieldHandler.ashx?token=eyJhbGciOiJIUzI1NiIsImtpZCI6IjNlMjk3MDA2LTMwMmU</vt:lpwstr>
  </property>
  <property fmtid="{D5CDD505-2E9C-101B-9397-08002B2CF9AE}" pid="41" name="rox_Meta3">
    <vt:lpwstr>tentyp" orderid="13" /&gt;&lt;Field id="rox_CreatedBy" caption="Erstellt" orderid="20" /&gt;&lt;Field id="rox_CreatedAt" caption="Erstell</vt:lpwstr>
  </property>
  <property fmtid="{D5CDD505-2E9C-101B-9397-08002B2CF9AE}" pid="42" name="rox_Meta30">
    <vt:lpwstr>tNGI4Ni05MTUxLTc3YWYzOWRhYjg0MyIsInR5cCI6IkpXVCJ9.eyJVc2VySUQiOiIzMzMzIiwic3ViIjoiNTFlYjc2YzktMTA0NC00MjAzLWI5ZWMtNTk3YTA2MzEwY</vt:lpwstr>
  </property>
  <property fmtid="{D5CDD505-2E9C-101B-9397-08002B2CF9AE}" pid="43" name="rox_Meta31">
    <vt:lpwstr>zE0IiwicmVxdWVzdGVkQnlDbGllbnRJRCI6IjNlMjk3MDA2LTMwMmUtNGI4Ni05MTUxLTc3YWYzOWRhYjg0MyIsIm5iZiI6MTcyNjgyOTE4NywiZXhwIjoxNzI2ODMy</vt:lpwstr>
  </property>
  <property fmtid="{D5CDD505-2E9C-101B-9397-08002B2CF9AE}" pid="44" name="rox_Meta32">
    <vt:lpwstr>Nzg3LCJpYXQiOjE3MjY4MjkxODcsImlzcyI6InJvWHRyYSJ9.nkziG7er1bA6siTXPkIyM_SdIpL-9HZX574EaoWHRqU" /&gt;&lt;/fields&gt;</vt:lpwstr>
  </property>
  <property fmtid="{D5CDD505-2E9C-101B-9397-08002B2CF9AE}" pid="45" name="rox_Meta4">
    <vt:lpwstr>t von" orderid="19" /&gt;&lt;Field id="rox_UpdatedBy" caption="Geändert von" orderid="22" /&gt;&lt;Field id="rox_UpdatedAt" caption="Geände</vt:lpwstr>
  </property>
  <property fmtid="{D5CDD505-2E9C-101B-9397-08002B2CF9AE}" pid="46" name="rox_Meta5">
    <vt:lpwstr>rt" orderid="21" /&gt;&lt;Field id="rox_DocPath" caption="Pfad" orderid="34" /&gt;&lt;Field id="rox_DocPath_2" caption="Pfad_2" orderid="35</vt:lpwstr>
  </property>
  <property fmtid="{D5CDD505-2E9C-101B-9397-08002B2CF9AE}" pid="47" name="rox_Meta6">
    <vt:lpwstr>" /&gt;&lt;Field id="rox_ParentDocTitle" caption="Ordner" orderid="36" /&gt;&lt;Field id="rox_FileName" caption="Dateiname" orderid="1" /&gt;&lt;</vt:lpwstr>
  </property>
  <property fmtid="{D5CDD505-2E9C-101B-9397-08002B2CF9AE}" pid="48" name="rox_Meta7">
    <vt:lpwstr>Field id="rox_VKSVersion" caption="VKS-Version" orderid="5" /&gt;&lt;Field id="rox_RelevantChange" caption="Systemrelevante Änderung</vt:lpwstr>
  </property>
  <property fmtid="{D5CDD505-2E9C-101B-9397-08002B2CF9AE}" pid="49" name="rox_Meta8">
    <vt:lpwstr>" orderid="6" /&gt;&lt;Field id="rox_FreigabedatumVB" caption="Freigabedatum VB" orderid="7" /&gt;&lt;Field id="rox_AlternativeGueltigkeit</vt:lpwstr>
  </property>
  <property fmtid="{D5CDD505-2E9C-101B-9397-08002B2CF9AE}" pid="50" name="rox_Meta9">
    <vt:lpwstr>" caption="Alternatives Gültigkeitsdatum" orderid="8" /&gt;&lt;Field id="rox_Veroeffentlichung" caption="Veröffentlichung auf Website</vt:lpwstr>
  </property>
  <property fmtid="{D5CDD505-2E9C-101B-9397-08002B2CF9AE}" pid="51" name="rox_ParentDocTitle">
    <vt:lpwstr>Vorlagen</vt:lpwstr>
  </property>
  <property fmtid="{D5CDD505-2E9C-101B-9397-08002B2CF9AE}" pid="52" name="rox_ReferencesTo">
    <vt:lpwstr>...</vt:lpwstr>
  </property>
  <property fmtid="{D5CDD505-2E9C-101B-9397-08002B2CF9AE}" pid="53" name="rox_RelevantChange">
    <vt:lpwstr>Nein</vt:lpwstr>
  </property>
  <property fmtid="{D5CDD505-2E9C-101B-9397-08002B2CF9AE}" pid="54" name="rox_Revision">
    <vt:lpwstr>002/06.2024</vt:lpwstr>
  </property>
  <property fmtid="{D5CDD505-2E9C-101B-9397-08002B2CF9AE}" pid="55" name="rox_RoleB">
    <vt:lpwstr>Riegler, Sarah
Steinberger, Stefanie</vt:lpwstr>
  </property>
  <property fmtid="{D5CDD505-2E9C-101B-9397-08002B2CF9AE}" pid="56" name="rox_RoleE">
    <vt:lpwstr>kein Empfänger</vt:lpwstr>
  </property>
  <property fmtid="{D5CDD505-2E9C-101B-9397-08002B2CF9AE}" pid="57" name="rox_RoleF">
    <vt:lpwstr>Gratzer, Ulf</vt:lpwstr>
  </property>
  <property fmtid="{D5CDD505-2E9C-101B-9397-08002B2CF9AE}" pid="58" name="rox_RoleG">
    <vt:lpwstr>GRUPPE: GeFe Förderungsabrechnung
Menzel, Katharina
Paier, Doris
Feibel, Lisa
Bretterklieber, Julia
GRUPPE: Website</vt:lpwstr>
  </property>
  <property fmtid="{D5CDD505-2E9C-101B-9397-08002B2CF9AE}" pid="59" name="rox_RoleK">
    <vt:lpwstr/>
  </property>
  <property fmtid="{D5CDD505-2E9C-101B-9397-08002B2CF9AE}" pid="60" name="rox_RoleP">
    <vt:lpwstr>Steiner, Erich</vt:lpwstr>
  </property>
  <property fmtid="{D5CDD505-2E9C-101B-9397-08002B2CF9AE}" pid="61" name="rox_RoleV">
    <vt:lpwstr>Steinberger, Stefanie</vt:lpwstr>
  </property>
  <property fmtid="{D5CDD505-2E9C-101B-9397-08002B2CF9AE}" pid="62" name="rox_Size">
    <vt:lpwstr>61434</vt:lpwstr>
  </property>
  <property fmtid="{D5CDD505-2E9C-101B-9397-08002B2CF9AE}" pid="63" name="rox_Status">
    <vt:lpwstr>freigegeben</vt:lpwstr>
  </property>
  <property fmtid="{D5CDD505-2E9C-101B-9397-08002B2CF9AE}" pid="64" name="rox_step_freigabe_d">
    <vt:lpwstr>10.06.2024</vt:lpwstr>
  </property>
  <property fmtid="{D5CDD505-2E9C-101B-9397-08002B2CF9AE}" pid="65" name="rox_step_freigabe_u">
    <vt:lpwstr>Gratzer, Ulf</vt:lpwstr>
  </property>
  <property fmtid="{D5CDD505-2E9C-101B-9397-08002B2CF9AE}" pid="66" name="rox_step_letztepruefung_d">
    <vt:lpwstr>10.06.2024</vt:lpwstr>
  </property>
  <property fmtid="{D5CDD505-2E9C-101B-9397-08002B2CF9AE}" pid="67" name="rox_step_letztepruefung_u">
    <vt:lpwstr>Steiner, Erich</vt:lpwstr>
  </property>
  <property fmtid="{D5CDD505-2E9C-101B-9397-08002B2CF9AE}" pid="68" name="rox_step_vks">
    <vt:lpwstr>-</vt:lpwstr>
  </property>
  <property fmtid="{D5CDD505-2E9C-101B-9397-08002B2CF9AE}" pid="69" name="rox_step_vks_d">
    <vt:lpwstr/>
  </property>
  <property fmtid="{D5CDD505-2E9C-101B-9397-08002B2CF9AE}" pid="70" name="rox_step_vks_u">
    <vt:lpwstr/>
  </property>
  <property fmtid="{D5CDD505-2E9C-101B-9397-08002B2CF9AE}" pid="71" name="rox_Title">
    <vt:lpwstr>09_VL_026_Term Sheet_Start!Klar plus</vt:lpwstr>
  </property>
  <property fmtid="{D5CDD505-2E9C-101B-9397-08002B2CF9AE}" pid="72" name="rox_UpdatedAt">
    <vt:lpwstr>28.05.2024</vt:lpwstr>
  </property>
  <property fmtid="{D5CDD505-2E9C-101B-9397-08002B2CF9AE}" pid="73" name="rox_UpdatedBy">
    <vt:lpwstr>Steinberger, Stefanie</vt:lpwstr>
  </property>
  <property fmtid="{D5CDD505-2E9C-101B-9397-08002B2CF9AE}" pid="74" name="rox_Veroeffentlichung">
    <vt:lpwstr>Ja</vt:lpwstr>
  </property>
  <property fmtid="{D5CDD505-2E9C-101B-9397-08002B2CF9AE}" pid="75" name="rox_Versionsinformationen">
    <vt:lpwstr>Anpassung der Nummerierung an die neue Prozesslandkarte, keine inhaltliche Änderung</vt:lpwstr>
  </property>
  <property fmtid="{D5CDD505-2E9C-101B-9397-08002B2CF9AE}" pid="76" name="rox_Versionsinformationen_2">
    <vt:lpwstr/>
  </property>
  <property fmtid="{D5CDD505-2E9C-101B-9397-08002B2CF9AE}" pid="77" name="rox_Versionsinformationen_3">
    <vt:lpwstr/>
  </property>
  <property fmtid="{D5CDD505-2E9C-101B-9397-08002B2CF9AE}" pid="78" name="rox_Versionsinformationen_4">
    <vt:lpwstr/>
  </property>
  <property fmtid="{D5CDD505-2E9C-101B-9397-08002B2CF9AE}" pid="79" name="rox_Versionsinformationen_5">
    <vt:lpwstr/>
  </property>
  <property fmtid="{D5CDD505-2E9C-101B-9397-08002B2CF9AE}" pid="80" name="rox_Versionsinformationen_6">
    <vt:lpwstr/>
  </property>
  <property fmtid="{D5CDD505-2E9C-101B-9397-08002B2CF9AE}" pid="81" name="rox_Versionsinformationen_7">
    <vt:lpwstr/>
  </property>
  <property fmtid="{D5CDD505-2E9C-101B-9397-08002B2CF9AE}" pid="82" name="rox_Versionsinformationen_8">
    <vt:lpwstr/>
  </property>
  <property fmtid="{D5CDD505-2E9C-101B-9397-08002B2CF9AE}" pid="83" name="rox_VKSVersion">
    <vt:lpwstr/>
  </property>
  <property fmtid="{D5CDD505-2E9C-101B-9397-08002B2CF9AE}" pid="84" name="rox_Wiedervorlage">
    <vt:lpwstr>10.06.2025</vt:lpwstr>
  </property>
</Properties>
</file>